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jc w:val="center"/>
        <w:spacing w:before="120" w:beforeAutospacing="0" w:after="120" w:afterAutospacing="0" w:line="360" w:lineRule="auto"/>
      </w:pPr>
      <w:r>
        <w:rPr>
          <w:rFonts w:ascii="Arial" w:hAnsi="Arial" w:cs="Arial"/>
          <w:b/>
          <w:color w:val="000000"/>
          <w:sz w:val="84"/>
          <w:szCs w:val="84"/>
        </w:rPr>
        <w:t xml:space="preserve">招 标 文 件</w:t>
      </w:r>
      <w:r/>
    </w:p>
    <w:p>
      <w:pPr>
        <w:jc w:val="center"/>
        <w:rPr>
          <w:rFonts w:hint="eastAsia" w:ascii="宋体" w:hAnsi="宋体" w:eastAsia="宋体"/>
          <w:b/>
          <w:bCs/>
          <w:sz w:val="36"/>
          <w:szCs w:val="36"/>
        </w:rPr>
      </w:pPr>
      <w:r>
        <w:rPr>
          <w:rFonts w:hint="eastAsia" w:ascii="宋体" w:hAnsi="宋体" w:eastAsia="宋体"/>
          <w:b/>
          <w:bCs/>
          <w:sz w:val="36"/>
          <w:szCs w:val="36"/>
        </w:rPr>
      </w:r>
      <w:r/>
    </w:p>
    <w:p>
      <w:pPr>
        <w:jc w:val="center"/>
        <w:rPr>
          <w:rFonts w:hint="eastAsia" w:ascii="宋体" w:hAnsi="宋体" w:eastAsia="宋体"/>
          <w:b/>
          <w:bCs/>
          <w:sz w:val="36"/>
          <w:szCs w:val="36"/>
        </w:rPr>
      </w:pPr>
      <w:r>
        <w:rPr>
          <w:rFonts w:hint="eastAsia" w:ascii="宋体" w:hAnsi="宋体" w:eastAsia="宋体"/>
          <w:b/>
          <w:bCs/>
          <w:sz w:val="36"/>
          <w:szCs w:val="36"/>
        </w:rPr>
      </w:r>
      <w:r/>
    </w:p>
    <w:p>
      <w:pPr>
        <w:jc w:val="center"/>
        <w:rPr>
          <w:rFonts w:hint="eastAsia" w:ascii="宋体" w:hAnsi="宋体" w:eastAsia="宋体"/>
          <w:b/>
          <w:bCs/>
          <w:sz w:val="36"/>
          <w:szCs w:val="36"/>
        </w:rPr>
      </w:pPr>
      <w:r>
        <w:rPr>
          <w:rFonts w:hint="eastAsia" w:ascii="宋体" w:hAnsi="宋体" w:eastAsia="宋体"/>
          <w:b/>
          <w:bCs/>
          <w:sz w:val="36"/>
          <w:szCs w:val="36"/>
        </w:rPr>
      </w:r>
      <w:r/>
    </w:p>
    <w:p>
      <w:pPr>
        <w:jc w:val="center"/>
        <w:rPr>
          <w:rFonts w:hint="eastAsia" w:ascii="宋体" w:hAnsi="宋体" w:eastAsia="宋体"/>
          <w:b/>
          <w:bCs/>
          <w:sz w:val="36"/>
          <w:szCs w:val="36"/>
        </w:rPr>
      </w:pPr>
      <w:r>
        <w:rPr>
          <w:rFonts w:hint="eastAsia" w:ascii="宋体" w:hAnsi="宋体" w:eastAsia="宋体"/>
          <w:b/>
          <w:bCs/>
          <w:sz w:val="36"/>
          <w:szCs w:val="36"/>
        </w:rPr>
      </w:r>
      <w:r/>
    </w:p>
    <w:p>
      <w:pPr>
        <w:jc w:val="center"/>
        <w:rPr>
          <w:rFonts w:hint="eastAsia" w:ascii="宋体" w:hAnsi="宋体" w:eastAsia="宋体"/>
          <w:b/>
          <w:bCs/>
          <w:sz w:val="36"/>
          <w:szCs w:val="36"/>
        </w:rPr>
      </w:pPr>
      <w:r>
        <w:rPr>
          <w:rFonts w:hint="eastAsia" w:ascii="宋体" w:hAnsi="宋体" w:eastAsia="宋体"/>
          <w:b/>
          <w:bCs/>
          <w:sz w:val="36"/>
          <w:szCs w:val="36"/>
        </w:rPr>
        <w:t xml:space="preserve">项目名称：响水县教育局校园安防建设项目</w:t>
      </w:r>
      <w:r/>
    </w:p>
    <w:p>
      <w:pPr>
        <w:jc w:val="center"/>
        <w:rPr>
          <w:sz w:val="24"/>
          <w:szCs w:val="32"/>
        </w:rPr>
      </w:pPr>
      <w:r>
        <w:rPr>
          <w:rFonts w:hint="eastAsia" w:ascii="宋体" w:hAnsi="宋体" w:eastAsia="宋体"/>
          <w:b/>
          <w:bCs/>
          <w:sz w:val="36"/>
          <w:szCs w:val="36"/>
        </w:rPr>
        <w:t xml:space="preserve">项目编号：</w:t>
      </w:r>
      <w:r>
        <w:rPr>
          <w:rFonts w:hint="eastAsia" w:ascii="宋体" w:hAnsi="宋体" w:eastAsia="宋体"/>
          <w:b/>
          <w:bCs/>
          <w:sz w:val="36"/>
          <w:szCs w:val="36"/>
          <w:lang w:eastAsia="zh-CN"/>
        </w:rPr>
        <w:t xml:space="preserve">JSZC-320921-YCWL-G2026-0001</w:t>
      </w:r>
      <w:r>
        <w:rPr>
          <w:rFonts w:hint="eastAsia" w:ascii="宋体" w:hAnsi="宋体" w:eastAsia="宋体"/>
          <w:b/>
          <w:bCs/>
          <w:sz w:val="36"/>
          <w:szCs w:val="36"/>
        </w:rPr>
        <w:tab/>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响水县教育局</w:t>
      </w:r>
      <w:r/>
    </w:p>
    <w:p>
      <w:pPr>
        <w:jc w:val="center"/>
        <w:rPr>
          <w:rFonts w:hint="eastAsia" w:ascii="宋体" w:hAnsi="宋体" w:eastAsia="宋体" w:cs="宋体"/>
          <w:b/>
          <w:sz w:val="36"/>
          <w:szCs w:val="36"/>
          <w:shd w:val="clear" w:color="auto" w:fill="ffffff" w:themeFill="background1"/>
        </w:rPr>
      </w:pPr>
      <w:r>
        <w:rPr>
          <w:rFonts w:hint="eastAsia" w:ascii="宋体" w:hAnsi="宋体" w:eastAsia="宋体" w:cs="宋体"/>
          <w:b/>
          <w:sz w:val="36"/>
          <w:szCs w:val="36"/>
          <w:shd w:val="clear" w:color="auto" w:fill="ffffff" w:themeFill="background1"/>
        </w:rPr>
        <w:t xml:space="preserve">2026年</w:t>
      </w:r>
      <w:r>
        <w:rPr>
          <w:rFonts w:hint="eastAsia" w:ascii="宋体" w:hAnsi="宋体" w:eastAsia="宋体" w:cs="宋体"/>
          <w:b/>
          <w:sz w:val="36"/>
          <w:szCs w:val="36"/>
          <w:shd w:val="clear" w:color="auto" w:fill="ffffff" w:themeFill="background1"/>
          <w:lang w:val="en-US" w:eastAsia="zh-CN"/>
        </w:rPr>
        <w:t xml:space="preserve">5</w:t>
      </w:r>
      <w:r>
        <w:rPr>
          <w:rFonts w:hint="eastAsia" w:ascii="宋体" w:hAnsi="宋体" w:eastAsia="宋体" w:cs="宋体"/>
          <w:b/>
          <w:sz w:val="36"/>
          <w:szCs w:val="36"/>
          <w:shd w:val="clear" w:color="auto" w:fill="ffffff" w:themeFill="background1"/>
        </w:rPr>
        <w:t xml:space="preserve">月</w:t>
      </w:r>
      <w:r/>
    </w:p>
    <w:p>
      <w:pPr>
        <w:rPr>
          <w:rFonts w:hint="eastAsia" w:ascii="黑体" w:hAnsi="宋体" w:eastAsia="黑体" w:cs="黑体"/>
          <w:b/>
          <w:color w:val="000000"/>
          <w:sz w:val="44"/>
          <w:szCs w:val="44"/>
        </w:rPr>
      </w:pPr>
      <w:r/>
      <w:bookmarkStart w:id="0" w:name="_Toc513029200"/>
      <w:r/>
      <w:bookmarkStart w:id="1" w:name="_Toc523127445"/>
      <w:r/>
      <w:bookmarkStart w:id="2" w:name="_Toc479757206"/>
      <w:r/>
      <w:bookmarkStart w:id="3" w:name="_Toc120614210"/>
      <w:r/>
      <w:bookmarkStart w:id="4" w:name="_Toc16938516"/>
      <w:r/>
      <w:bookmarkStart w:id="5" w:name="_Toc20823272"/>
      <w:r>
        <w:rPr>
          <w:rFonts w:ascii="黑体" w:hAnsi="宋体" w:eastAsia="黑体" w:cs="黑体"/>
          <w:b/>
          <w:color w:val="000000"/>
          <w:sz w:val="44"/>
          <w:szCs w:val="44"/>
        </w:rPr>
        <w:br w:type="page" w:clear="all"/>
      </w:r>
      <w:r/>
    </w:p>
    <w:p>
      <w:pPr>
        <w:pStyle w:val="788"/>
        <w:jc w:val="center"/>
        <w:spacing w:beforeAutospacing="0" w:afterAutospacing="0" w:line="480" w:lineRule="auto"/>
      </w:pP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788"/>
        <w:ind w:firstLine="2891"/>
        <w:spacing w:beforeAutospacing="0" w:afterAutospacing="0" w:line="480" w:lineRule="auto"/>
      </w:pPr>
      <w:r>
        <w:t xml:space="preserve"> </w:t>
      </w:r>
      <w:r/>
    </w:p>
    <w:p>
      <w:pPr>
        <w:pStyle w:val="788"/>
        <w:spacing w:beforeAutospacing="0" w:afterAutospacing="0" w:line="480" w:lineRule="auto"/>
        <w:tabs>
          <w:tab w:val="left" w:pos="1441" w:leader="none"/>
        </w:tabs>
      </w:pPr>
      <w:r>
        <w:rPr>
          <w:rFonts w:hint="eastAsia" w:ascii="黑体" w:hAnsi="宋体" w:eastAsia="黑体" w:cs="黑体"/>
          <w:color w:val="000000"/>
          <w:sz w:val="36"/>
          <w:szCs w:val="36"/>
        </w:rPr>
        <w:t xml:space="preserve">一、</w:t>
      </w:r>
      <w:bookmarkStart w:id="6" w:name="OLE_LINK34"/>
      <w:r>
        <w:rPr>
          <w:rFonts w:hint="eastAsia" w:ascii="黑体" w:hAnsi="宋体" w:eastAsia="黑体" w:cs="黑体"/>
          <w:color w:val="000000"/>
          <w:sz w:val="36"/>
          <w:szCs w:val="36"/>
        </w:rPr>
        <w:t xml:space="preserve">招标公告</w:t>
      </w:r>
      <w:bookmarkEnd w:id="6"/>
      <w:r>
        <w:rPr>
          <w:rFonts w:hint="eastAsia" w:ascii="黑体" w:hAnsi="宋体" w:eastAsia="黑体" w:cs="黑体"/>
          <w:color w:val="000000"/>
          <w:sz w:val="36"/>
          <w:szCs w:val="36"/>
        </w:rPr>
        <w:t xml:space="preserve">……………………………………</w:t>
      </w:r>
      <w:r/>
    </w:p>
    <w:p>
      <w:pPr>
        <w:pStyle w:val="788"/>
        <w:spacing w:beforeAutospacing="0" w:afterAutospacing="0" w:line="480" w:lineRule="auto"/>
        <w:tabs>
          <w:tab w:val="left" w:pos="1441" w:leader="none"/>
        </w:tabs>
      </w:pPr>
      <w:r>
        <w:rPr>
          <w:rFonts w:hint="eastAsia" w:ascii="黑体" w:hAnsi="宋体" w:eastAsia="黑体" w:cs="黑体"/>
          <w:color w:val="000000"/>
          <w:sz w:val="36"/>
          <w:szCs w:val="36"/>
        </w:rPr>
        <w:t xml:space="preserve">二、</w:t>
      </w:r>
      <w:bookmarkStart w:id="7" w:name="OLE_LINK41"/>
      <w:r>
        <w:rPr>
          <w:rFonts w:hint="eastAsia" w:ascii="黑体" w:hAnsi="宋体" w:eastAsia="黑体" w:cs="黑体"/>
          <w:color w:val="000000"/>
          <w:sz w:val="36"/>
          <w:szCs w:val="36"/>
        </w:rPr>
        <w:t xml:space="preserve">投标人须知</w:t>
      </w:r>
      <w:bookmarkEnd w:id="7"/>
      <w:r>
        <w:rPr>
          <w:rFonts w:hint="eastAsia" w:ascii="黑体" w:hAnsi="宋体" w:eastAsia="黑体" w:cs="黑体"/>
          <w:color w:val="000000"/>
          <w:sz w:val="36"/>
          <w:szCs w:val="36"/>
        </w:rPr>
        <w:t xml:space="preserve">…………………………………</w:t>
      </w:r>
      <w:r/>
    </w:p>
    <w:p>
      <w:pPr>
        <w:pStyle w:val="788"/>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三、</w:t>
      </w:r>
      <w:bookmarkStart w:id="8" w:name="OLE_LINK42"/>
      <w:r>
        <w:rPr>
          <w:rFonts w:hint="eastAsia" w:ascii="黑体" w:hAnsi="宋体" w:eastAsia="黑体" w:cs="黑体"/>
          <w:color w:val="000000"/>
          <w:sz w:val="36"/>
          <w:szCs w:val="36"/>
        </w:rPr>
        <w:t xml:space="preserve">合同条款</w:t>
      </w:r>
      <w:bookmarkEnd w:id="8"/>
      <w:r>
        <w:rPr>
          <w:rFonts w:hint="eastAsia" w:ascii="黑体" w:hAnsi="宋体" w:eastAsia="黑体" w:cs="黑体"/>
          <w:color w:val="000000"/>
          <w:sz w:val="36"/>
          <w:szCs w:val="36"/>
        </w:rPr>
        <w:t xml:space="preserve">……………………………………</w:t>
      </w:r>
      <w:r/>
    </w:p>
    <w:p>
      <w:pPr>
        <w:pStyle w:val="788"/>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四、</w:t>
      </w:r>
      <w:bookmarkStart w:id="9" w:name="OLE_LINK38"/>
      <w:r>
        <w:rPr>
          <w:rFonts w:hint="eastAsia" w:ascii="黑体" w:hAnsi="宋体" w:eastAsia="黑体" w:cs="黑体"/>
          <w:color w:val="000000"/>
          <w:sz w:val="36"/>
          <w:szCs w:val="36"/>
        </w:rPr>
        <w:t xml:space="preserve">采购需求</w:t>
      </w:r>
      <w:bookmarkEnd w:id="9"/>
      <w:r>
        <w:rPr>
          <w:rFonts w:hint="eastAsia" w:ascii="黑体" w:hAnsi="宋体" w:eastAsia="黑体" w:cs="黑体"/>
          <w:color w:val="000000"/>
          <w:sz w:val="36"/>
          <w:szCs w:val="36"/>
        </w:rPr>
        <w:t xml:space="preserve">……………………………………</w:t>
      </w:r>
      <w:r/>
    </w:p>
    <w:p>
      <w:pPr>
        <w:pStyle w:val="788"/>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五、</w:t>
      </w:r>
      <w:bookmarkStart w:id="10" w:name="OLE_LINK39"/>
      <w:r>
        <w:rPr>
          <w:rFonts w:hint="eastAsia" w:ascii="黑体" w:hAnsi="宋体" w:eastAsia="黑体" w:cs="黑体"/>
          <w:color w:val="000000"/>
          <w:sz w:val="36"/>
          <w:szCs w:val="36"/>
        </w:rPr>
        <w:t xml:space="preserve">评标方法与评标标准</w:t>
      </w:r>
      <w:bookmarkEnd w:id="10"/>
      <w:r>
        <w:rPr>
          <w:rFonts w:hint="eastAsia" w:ascii="黑体" w:hAnsi="宋体" w:eastAsia="黑体" w:cs="黑体"/>
          <w:color w:val="000000"/>
          <w:sz w:val="36"/>
          <w:szCs w:val="36"/>
        </w:rPr>
        <w:t xml:space="preserve">………………………</w:t>
      </w:r>
      <w:r/>
    </w:p>
    <w:p>
      <w:pPr>
        <w:pStyle w:val="788"/>
        <w:spacing w:beforeAutospacing="0" w:afterAutospacing="0" w:line="480" w:lineRule="auto"/>
        <w:tabs>
          <w:tab w:val="left" w:pos="1441" w:leader="none"/>
        </w:tabs>
        <w:rPr>
          <w:rFonts w:eastAsia="黑体"/>
        </w:rPr>
      </w:pPr>
      <w:r>
        <w:rPr>
          <w:rFonts w:hint="eastAsia" w:ascii="黑体" w:hAnsi="宋体" w:eastAsia="黑体" w:cs="黑体"/>
          <w:color w:val="000000"/>
          <w:sz w:val="36"/>
          <w:szCs w:val="36"/>
        </w:rPr>
        <w:t xml:space="preserve">六、</w:t>
      </w:r>
      <w:bookmarkStart w:id="11" w:name="OLE_LINK40"/>
      <w:r>
        <w:rPr>
          <w:rFonts w:hint="eastAsia" w:ascii="黑体" w:hAnsi="宋体" w:eastAsia="黑体" w:cs="黑体"/>
          <w:color w:val="000000"/>
          <w:sz w:val="36"/>
          <w:szCs w:val="36"/>
        </w:rPr>
        <w:t xml:space="preserve">投标文件格式</w:t>
      </w:r>
      <w:bookmarkEnd w:id="11"/>
      <w:r>
        <w:rPr>
          <w:rFonts w:hint="eastAsia" w:ascii="黑体" w:hAnsi="宋体" w:eastAsia="黑体" w:cs="黑体"/>
          <w:color w:val="000000"/>
          <w:sz w:val="36"/>
          <w:szCs w:val="36"/>
        </w:rPr>
        <w:t xml:space="preserve">………………………………</w:t>
      </w:r>
      <w:r/>
    </w:p>
    <w:p>
      <w:pPr>
        <w:pStyle w:val="788"/>
        <w:ind w:firstLine="3080"/>
        <w:keepNext/>
        <w:spacing w:beforeAutospacing="0" w:afterAutospacing="0"/>
        <w:rPr>
          <w:rFonts w:hint="eastAsia" w:ascii="黑体" w:hAnsi="宋体" w:eastAsia="黑体" w:cs="黑体"/>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bookmarkStart w:id="12" w:name="_Toc28359086"/>
      <w:r/>
      <w:r/>
    </w:p>
    <w:p>
      <w:pPr>
        <w:pStyle w:val="788"/>
        <w:jc w:val="center"/>
        <w:keepNext/>
        <w:spacing w:beforeAutospacing="0" w:afterAutospacing="0" w:line="360" w:lineRule="auto"/>
        <w:rPr>
          <w:rFonts w:eastAsia="黑体"/>
        </w:rPr>
      </w:pPr>
      <w:r>
        <w:rPr>
          <w:rFonts w:hint="eastAsia" w:ascii="黑体" w:hAnsi="宋体" w:eastAsia="黑体" w:cs="黑体"/>
          <w:color w:val="000000"/>
          <w:sz w:val="44"/>
          <w:szCs w:val="44"/>
        </w:rPr>
        <w:t xml:space="preserve">第一章 招标公告</w:t>
      </w:r>
      <w:r/>
    </w:p>
    <w:p>
      <w:pPr>
        <w:pStyle w:val="788"/>
        <w:ind w:firstLine="480"/>
        <w:jc w:val="both"/>
        <w:spacing w:before="60" w:beforeAutospacing="0" w:after="60" w:afterAutospacing="0" w:line="42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bookmarkStart w:id="13" w:name="_Toc28359079"/>
      <w:r/>
      <w:bookmarkStart w:id="14" w:name="_Toc28359002"/>
      <w:r/>
      <w:bookmarkStart w:id="15" w:name="_Toc35393621"/>
      <w:r/>
      <w:bookmarkStart w:id="16" w:name="_Toc35393790"/>
      <w:r/>
      <w:bookmarkStart w:id="17" w:name="_Toc38985263"/>
      <w:r/>
      <w:bookmarkStart w:id="18" w:name="_Hlk24379207"/>
      <w:r>
        <w:rPr>
          <w:rFonts w:hint="eastAsia" w:ascii="宋体" w:hAnsi="宋体" w:eastAsia="宋体" w:cs="宋体"/>
        </w:rPr>
        <w:t xml:space="preserve">项目概况</w:t>
      </w:r>
      <w:r/>
    </w:p>
    <w:p>
      <w:pPr>
        <w:pStyle w:val="788"/>
        <w:ind w:firstLine="480"/>
        <w:jc w:val="both"/>
        <w:spacing w:before="60" w:beforeAutospacing="0" w:after="60" w:afterAutospacing="0" w:line="420" w:lineRule="exact"/>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u w:val="single"/>
        </w:rPr>
        <w:t xml:space="preserve">响水县教育局校园安防建设项目</w:t>
      </w:r>
      <w:r>
        <w:rPr>
          <w:rFonts w:hint="eastAsia" w:ascii="宋体" w:hAnsi="宋体" w:eastAsia="宋体" w:cs="宋体"/>
        </w:rPr>
        <w:t xml:space="preserve">的潜在投标人可在</w:t>
      </w:r>
      <w:r>
        <w:rPr>
          <w:rFonts w:hint="eastAsia" w:ascii="宋体" w:hAnsi="宋体" w:eastAsia="宋体" w:cs="宋体"/>
          <w:shd w:val="clear" w:color="auto" w:fill="ffffff"/>
        </w:rPr>
        <w:t xml:space="preserve">“苏采云”系统内免费下载（投标人必须在苏采云系统中获取采购文件，方能参与政府采购项目）</w:t>
      </w:r>
      <w:r>
        <w:rPr>
          <w:rFonts w:hint="eastAsia" w:ascii="宋体" w:hAnsi="宋体" w:eastAsia="宋体" w:cs="宋体"/>
        </w:rPr>
        <w:t xml:space="preserve">，并于</w:t>
      </w:r>
      <w:r>
        <w:rPr>
          <w:rFonts w:hint="eastAsia" w:ascii="宋体" w:hAnsi="宋体" w:eastAsia="宋体" w:cs="宋体"/>
          <w:u w:val="single"/>
        </w:rPr>
        <w:t xml:space="preserve">2026年</w:t>
      </w:r>
      <w:r>
        <w:rPr>
          <w:rFonts w:hint="eastAsia" w:ascii="宋体" w:hAnsi="宋体" w:eastAsia="宋体" w:cs="宋体"/>
          <w:u w:val="single"/>
          <w:lang w:val="en-US" w:eastAsia="zh-CN"/>
        </w:rPr>
        <w:t xml:space="preserve">6</w:t>
      </w:r>
      <w:r>
        <w:rPr>
          <w:rFonts w:hint="eastAsia" w:ascii="宋体" w:hAnsi="宋体" w:eastAsia="宋体" w:cs="宋体"/>
          <w:u w:val="single"/>
        </w:rPr>
        <w:t xml:space="preserve">月</w:t>
      </w:r>
      <w:r>
        <w:rPr>
          <w:rFonts w:hint="eastAsia" w:ascii="宋体" w:hAnsi="宋体" w:eastAsia="宋体" w:cs="宋体"/>
          <w:u w:val="single"/>
          <w:lang w:val="en-US" w:eastAsia="zh-CN"/>
        </w:rPr>
        <w:t xml:space="preserve">5</w:t>
      </w:r>
      <w:r>
        <w:rPr>
          <w:rFonts w:hint="eastAsia" w:ascii="宋体" w:hAnsi="宋体" w:eastAsia="宋体" w:cs="宋体"/>
          <w:u w:val="single"/>
        </w:rPr>
        <w:t xml:space="preserve">日</w:t>
      </w:r>
      <w:r>
        <w:rPr>
          <w:rFonts w:hint="eastAsia" w:ascii="宋体" w:hAnsi="宋体" w:eastAsia="宋体" w:cs="宋体"/>
          <w:u w:val="single"/>
          <w:lang w:val="en-US" w:eastAsia="zh-CN"/>
        </w:rPr>
        <w:t xml:space="preserve">9</w:t>
      </w:r>
      <w:r>
        <w:rPr>
          <w:rFonts w:hint="eastAsia" w:ascii="宋体" w:hAnsi="宋体" w:eastAsia="宋体" w:cs="宋体"/>
          <w:u w:val="single"/>
        </w:rPr>
        <w:t xml:space="preserve">点</w:t>
      </w:r>
      <w:r>
        <w:rPr>
          <w:rFonts w:hint="eastAsia" w:ascii="宋体" w:hAnsi="宋体" w:eastAsia="宋体" w:cs="宋体"/>
          <w:u w:val="single"/>
          <w:lang w:val="en-US" w:eastAsia="zh-CN"/>
        </w:rPr>
        <w:t xml:space="preserve">00</w:t>
      </w:r>
      <w:r>
        <w:rPr>
          <w:rFonts w:hint="eastAsia" w:ascii="宋体" w:hAnsi="宋体" w:eastAsia="宋体" w:cs="宋体"/>
          <w:u w:val="single"/>
        </w:rPr>
        <w:t xml:space="preserve">分（</w:t>
      </w:r>
      <w:r>
        <w:rPr>
          <w:rFonts w:hint="eastAsia" w:ascii="宋体" w:hAnsi="宋体" w:eastAsia="宋体" w:cs="宋体"/>
        </w:rPr>
        <w:t xml:space="preserve">北京时间）前递交投标文件。</w:t>
      </w:r>
      <w:r/>
    </w:p>
    <w:p>
      <w:pPr>
        <w:pStyle w:val="788"/>
        <w:ind w:firstLine="482"/>
        <w:keepLines/>
        <w:keepNext/>
        <w:spacing w:before="60" w:beforeAutospacing="0" w:after="60" w:afterAutospacing="0" w:line="420" w:lineRule="exact"/>
        <w:rPr>
          <w:rFonts w:hint="eastAsia" w:ascii="宋体" w:hAnsi="宋体" w:eastAsia="宋体" w:cs="宋体"/>
        </w:rPr>
      </w:pPr>
      <w:r>
        <w:rPr>
          <w:rFonts w:hint="eastAsia" w:ascii="宋体" w:hAnsi="宋体" w:eastAsia="宋体" w:cs="宋体"/>
          <w:b/>
          <w:color w:val="000000"/>
        </w:rPr>
        <w:t xml:space="preserve">一、项目基本情况</w:t>
      </w:r>
      <w:bookmarkEnd w:id="13"/>
      <w:r/>
      <w:bookmarkEnd w:id="14"/>
      <w:r/>
      <w:bookmarkEnd w:id="15"/>
      <w:r/>
      <w:bookmarkEnd w:id="16"/>
      <w:r/>
      <w:bookmarkEnd w:id="17"/>
      <w:r/>
      <w:bookmarkEnd w:id="18"/>
      <w:r/>
      <w:r/>
    </w:p>
    <w:p>
      <w:pPr>
        <w:ind w:firstLine="480"/>
        <w:jc w:val="left"/>
        <w:spacing w:before="60" w:after="60" w:line="420" w:lineRule="exact"/>
        <w:rPr>
          <w:rFonts w:hint="eastAsia" w:ascii="宋体" w:hAnsi="宋体" w:eastAsia="宋体"/>
          <w:sz w:val="24"/>
          <w:shd w:val="clear" w:color="auto" w:fill="ffffff" w:themeFill="background1"/>
          <w:lang w:eastAsia="zh-CN"/>
        </w:rPr>
      </w:pPr>
      <w:r/>
      <w:bookmarkStart w:id="19" w:name="OLE_LINK24"/>
      <w:r>
        <w:rPr>
          <w:rFonts w:hint="eastAsia" w:ascii="宋体" w:hAnsi="宋体" w:eastAsia="宋体"/>
          <w:sz w:val="24"/>
          <w:shd w:val="clear" w:color="auto" w:fill="ffffff" w:themeFill="background1"/>
        </w:rPr>
        <w:t xml:space="preserve">1.项目编号：</w:t>
      </w:r>
      <w:r>
        <w:rPr>
          <w:rFonts w:hint="eastAsia" w:ascii="宋体" w:hAnsi="宋体" w:eastAsia="宋体"/>
          <w:sz w:val="24"/>
          <w:shd w:val="clear" w:color="auto" w:fill="ffffff" w:themeFill="background1"/>
          <w:lang w:eastAsia="zh-CN"/>
        </w:rPr>
        <w:t xml:space="preserve">JSZC-320921-YCWL-G2026-0001</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2.项目名称：响水县教育局校园安防建设项目</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3.采购方式：公开招标</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4.预算金额：</w:t>
      </w:r>
      <w:bookmarkStart w:id="20" w:name="OLE_LINK94"/>
      <w:r/>
      <w:bookmarkStart w:id="21" w:name="OLE_LINK77"/>
      <w:r>
        <w:rPr>
          <w:rFonts w:hint="eastAsia" w:ascii="宋体" w:hAnsi="宋体" w:eastAsia="宋体"/>
          <w:sz w:val="24"/>
          <w:shd w:val="clear" w:color="auto" w:fill="ffffff" w:themeFill="background1"/>
        </w:rPr>
        <w:t xml:space="preserve">1200万元</w:t>
      </w:r>
      <w:bookmarkEnd w:id="20"/>
      <w:r/>
      <w:bookmarkEnd w:id="21"/>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5.最高限价：11961783元</w:t>
      </w:r>
      <w:bookmarkEnd w:id="19"/>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6.采购需求：响水县教育局校园安防建设项目，详情见采购文件第四章“采购需求”。</w:t>
      </w:r>
      <w:r/>
    </w:p>
    <w:p>
      <w:pPr>
        <w:ind w:firstLine="480"/>
        <w:jc w:val="left"/>
        <w:spacing w:before="60" w:after="60" w:line="420" w:lineRule="exact"/>
        <w:rPr>
          <w:rFonts w:hint="eastAsia" w:ascii="宋体" w:hAnsi="宋体" w:eastAsia="宋体"/>
          <w:sz w:val="24"/>
          <w:shd w:val="clear" w:color="auto" w:fill="ffffff" w:themeFill="background1"/>
        </w:rPr>
      </w:pPr>
      <w:r/>
      <w:bookmarkStart w:id="22" w:name="_Toc28359080"/>
      <w:r/>
      <w:bookmarkStart w:id="23" w:name="_Toc35393622"/>
      <w:r/>
      <w:bookmarkStart w:id="24" w:name="_Toc38985264"/>
      <w:r/>
      <w:bookmarkStart w:id="25" w:name="_Toc28359003"/>
      <w:r/>
      <w:bookmarkStart w:id="26" w:name="_Toc35393791"/>
      <w:r>
        <w:rPr>
          <w:rFonts w:hint="eastAsia" w:ascii="宋体" w:hAnsi="宋体" w:eastAsia="宋体"/>
          <w:sz w:val="24"/>
          <w:shd w:val="clear" w:color="auto" w:fill="ffffff" w:themeFill="background1"/>
        </w:rPr>
        <w:t xml:space="preserve">7.合同履行期限：合同签订后90个日历天完成供货（安装）并交付使用。</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8.本项目（是/否）接受联合体投标：否</w:t>
      </w:r>
      <w:r/>
    </w:p>
    <w:p>
      <w:pPr>
        <w:ind w:firstLine="422"/>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cs="宋体"/>
          <w:b/>
          <w:color w:val="000000"/>
        </w:rPr>
        <w:t xml:space="preserve">二、申请人的资格要求：</w:t>
      </w:r>
      <w:bookmarkEnd w:id="22"/>
      <w:r/>
      <w:bookmarkEnd w:id="23"/>
      <w:r/>
      <w:bookmarkEnd w:id="24"/>
      <w:r/>
      <w:bookmarkEnd w:id="25"/>
      <w:r/>
      <w:bookmarkEnd w:id="26"/>
      <w:r/>
      <w:r/>
    </w:p>
    <w:p>
      <w:pPr>
        <w:pStyle w:val="788"/>
        <w:ind w:firstLine="480"/>
        <w:spacing w:before="60" w:beforeAutospacing="0" w:after="60" w:afterAutospacing="0" w:line="420" w:lineRule="exact"/>
        <w:rPr>
          <w:rFonts w:hint="eastAsia" w:ascii="宋体" w:hAnsi="宋体" w:eastAsia="宋体" w:cs="宋体"/>
        </w:rPr>
      </w:pPr>
      <w:r>
        <w:rPr>
          <w:rFonts w:hint="eastAsia" w:ascii="宋体" w:hAnsi="宋体" w:eastAsia="宋体" w:cs="宋体"/>
          <w:color w:val="000000"/>
        </w:rPr>
        <w:t xml:space="preserve">（一）满足《中华人民共和国政府采购法》第二十二条规定，并提供下列材料：</w:t>
      </w:r>
      <w:r/>
    </w:p>
    <w:p>
      <w:pPr>
        <w:pStyle w:val="788"/>
        <w:ind w:firstLine="480"/>
        <w:spacing w:before="60" w:beforeAutospacing="0" w:after="60" w:afterAutospacing="0" w:line="420" w:lineRule="exact"/>
        <w:rPr>
          <w:rFonts w:hint="eastAsia" w:ascii="宋体" w:hAnsi="宋体" w:eastAsia="宋体" w:cs="宋体"/>
        </w:rPr>
      </w:pPr>
      <w:r/>
      <w:bookmarkStart w:id="27" w:name="OLE_LINK37"/>
      <w:r>
        <w:rPr>
          <w:rFonts w:hint="eastAsia" w:ascii="宋体" w:hAnsi="宋体" w:eastAsia="宋体" w:cs="宋体"/>
          <w:color w:val="000000"/>
        </w:rPr>
        <w:t xml:space="preserve">1.法人或者其他组织的营业执照等证明文件，自然人的身份证明。</w:t>
      </w:r>
      <w:bookmarkEnd w:id="27"/>
      <w:r/>
      <w:r/>
    </w:p>
    <w:p>
      <w:pPr>
        <w:pStyle w:val="788"/>
        <w:ind w:firstLine="480"/>
        <w:spacing w:before="60" w:beforeAutospacing="0" w:after="60" w:afterAutospacing="0" w:line="420" w:lineRule="exact"/>
        <w:rPr>
          <w:rFonts w:hint="eastAsia" w:ascii="宋体" w:hAnsi="宋体" w:eastAsia="宋体" w:cs="宋体"/>
          <w:color w:val="000000"/>
        </w:rPr>
      </w:pPr>
      <w:r/>
      <w:bookmarkStart w:id="28" w:name="_Hlk203119529"/>
      <w:r/>
      <w:bookmarkStart w:id="29" w:name="OLE_LINK64"/>
      <w:r/>
      <w:bookmarkStart w:id="30" w:name="OLE_LINK25"/>
      <w:r>
        <w:rPr>
          <w:rFonts w:hint="eastAsia" w:ascii="宋体" w:hAnsi="宋体" w:eastAsia="宋体" w:cs="宋体"/>
          <w:color w:val="000000"/>
        </w:rPr>
        <w:t xml:space="preserve">2.</w:t>
      </w:r>
      <w:bookmarkEnd w:id="28"/>
      <w:r>
        <w:rPr>
          <w:rFonts w:hint="eastAsia" w:ascii="宋体" w:hAnsi="宋体" w:eastAsia="宋体"/>
        </w:rPr>
        <w:t xml:space="preserve">2024年度或2025年度的财务状况报告（成立不满一年无需提供）</w:t>
      </w:r>
      <w:r>
        <w:rPr>
          <w:rFonts w:hint="eastAsia" w:ascii="宋体" w:hAnsi="宋体" w:eastAsia="宋体" w:cs="宋体"/>
          <w:color w:val="000000"/>
        </w:rPr>
        <w:t xml:space="preserve">。</w:t>
      </w:r>
      <w:bookmarkEnd w:id="29"/>
      <w:r/>
      <w:bookmarkEnd w:id="30"/>
      <w:r/>
      <w:r/>
    </w:p>
    <w:p>
      <w:pPr>
        <w:pStyle w:val="788"/>
        <w:ind w:firstLine="480"/>
        <w:spacing w:before="60" w:beforeAutospacing="0" w:after="60" w:afterAutospacing="0" w:line="420" w:lineRule="exact"/>
        <w:rPr>
          <w:rFonts w:hint="eastAsia" w:ascii="宋体" w:hAnsi="宋体" w:eastAsia="宋体" w:cs="宋体"/>
          <w:color w:val="000000"/>
        </w:rPr>
      </w:pPr>
      <w:r/>
      <w:bookmarkStart w:id="31" w:name="OLE_LINK65"/>
      <w:r>
        <w:rPr>
          <w:rFonts w:hint="eastAsia" w:ascii="宋体" w:hAnsi="宋体" w:eastAsia="宋体" w:cs="宋体"/>
          <w:color w:val="000000"/>
        </w:rPr>
        <w:t xml:space="preserve">3.具备履行合同所必需的设备和专业技术能力的书面声明。</w:t>
      </w:r>
      <w:bookmarkEnd w:id="31"/>
      <w:r/>
      <w:r/>
    </w:p>
    <w:p>
      <w:pPr>
        <w:pStyle w:val="788"/>
        <w:ind w:firstLine="480"/>
        <w:spacing w:before="60" w:beforeAutospacing="0" w:after="60" w:afterAutospacing="0" w:line="420" w:lineRule="exact"/>
        <w:rPr>
          <w:rFonts w:hint="eastAsia" w:ascii="宋体" w:hAnsi="宋体" w:eastAsia="宋体" w:cs="宋体"/>
        </w:rPr>
      </w:pPr>
      <w:r/>
      <w:bookmarkStart w:id="32" w:name="OLE_LINK66"/>
      <w:r>
        <w:rPr>
          <w:rFonts w:hint="eastAsia" w:ascii="宋体" w:hAnsi="宋体" w:eastAsia="宋体" w:cs="宋体"/>
          <w:color w:val="000000"/>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bookmarkEnd w:id="32"/>
      <w:r/>
      <w:r/>
    </w:p>
    <w:p>
      <w:pPr>
        <w:pStyle w:val="788"/>
        <w:ind w:firstLine="480"/>
        <w:spacing w:before="60" w:beforeAutospacing="0" w:after="60" w:afterAutospacing="0" w:line="420" w:lineRule="exact"/>
        <w:rPr>
          <w:rFonts w:hint="eastAsia" w:ascii="宋体" w:hAnsi="宋体" w:eastAsia="宋体" w:cs="宋体"/>
          <w:color w:val="000000"/>
        </w:rPr>
      </w:pPr>
      <w:r/>
      <w:bookmarkStart w:id="33" w:name="OLE_LINK69"/>
      <w:r>
        <w:rPr>
          <w:rFonts w:hint="eastAsia" w:ascii="宋体" w:hAnsi="宋体" w:eastAsia="宋体" w:cs="宋体"/>
          <w:color w:val="000000"/>
        </w:rPr>
        <w:t xml:space="preserve">5.参加政府采购活动前3年内在经营活动中没有重大违法记录的书面声明。</w:t>
      </w:r>
      <w:bookmarkEnd w:id="33"/>
      <w:r/>
      <w:r/>
    </w:p>
    <w:p>
      <w:pPr>
        <w:pStyle w:val="788"/>
        <w:ind w:firstLine="480"/>
        <w:spacing w:before="60" w:beforeAutospacing="0" w:after="60" w:afterAutospacing="0" w:line="420" w:lineRule="exact"/>
        <w:rPr>
          <w:rFonts w:hint="eastAsia" w:ascii="宋体" w:hAnsi="宋体" w:eastAsia="宋体" w:cs="宋体"/>
          <w:color w:val="000000"/>
        </w:rPr>
      </w:pPr>
      <w:r/>
      <w:bookmarkStart w:id="34" w:name="OLE_LINK71"/>
      <w:r/>
      <w:bookmarkStart w:id="35" w:name="OLE_LINK26"/>
      <w:r>
        <w:rPr>
          <w:rFonts w:hint="eastAsia" w:ascii="宋体" w:hAnsi="宋体" w:eastAsia="宋体" w:cs="宋体"/>
          <w:color w:val="000000"/>
        </w:rPr>
        <w:t xml:space="preserve">6.法律、行政法规规定的其他条件。</w:t>
      </w:r>
      <w:bookmarkEnd w:id="34"/>
      <w:r/>
      <w:bookmarkEnd w:id="35"/>
      <w:r/>
      <w:r/>
    </w:p>
    <w:p>
      <w:pPr>
        <w:pStyle w:val="788"/>
        <w:ind w:firstLine="480"/>
        <w:spacing w:before="60" w:beforeAutospacing="0" w:after="60" w:afterAutospacing="0" w:line="420" w:lineRule="exact"/>
        <w:rPr>
          <w:rFonts w:hint="eastAsia" w:ascii="宋体" w:hAnsi="宋体" w:eastAsia="宋体" w:cs="宋体"/>
          <w:color w:val="000000"/>
        </w:rPr>
      </w:pPr>
      <w:r/>
      <w:bookmarkStart w:id="36" w:name="OLE_LINK17"/>
      <w:r/>
      <w:bookmarkStart w:id="37" w:name="OLE_LINK73"/>
      <w:r>
        <w:rPr>
          <w:rFonts w:hint="eastAsia" w:ascii="宋体" w:hAnsi="宋体" w:eastAsia="宋体"/>
          <w:shd w:val="clear" w:color="auto" w:fill="ffffff" w:themeFill="background1"/>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6"/>
      <w:r/>
      <w:bookmarkEnd w:id="37"/>
      <w:r/>
      <w:r/>
    </w:p>
    <w:p>
      <w:pPr>
        <w:pStyle w:val="788"/>
        <w:ind w:firstLine="480"/>
        <w:spacing w:before="60" w:beforeAutospacing="0" w:after="60" w:afterAutospacing="0" w:line="420" w:lineRule="exact"/>
        <w:rPr>
          <w:rFonts w:hint="eastAsia" w:ascii="宋体" w:hAnsi="宋体" w:eastAsia="宋体" w:cs="宋体"/>
          <w:color w:val="000000"/>
        </w:rPr>
      </w:pPr>
      <w:r/>
      <w:bookmarkStart w:id="38" w:name="OLE_LINK74"/>
      <w:r>
        <w:rPr>
          <w:rFonts w:hint="eastAsia" w:ascii="宋体" w:hAnsi="宋体" w:eastAsia="宋体" w:cs="宋体"/>
          <w:color w:val="000000"/>
        </w:rPr>
        <w:t xml:space="preserve">8.单位负责人为同一人或者存在直接控股、管理关系的不同供应商，不得参加同一合同项下的政府采购活动。</w:t>
      </w:r>
      <w:bookmarkEnd w:id="38"/>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（二）落实政府采购政策需满足的资格要求：</w:t>
      </w:r>
      <w:r/>
    </w:p>
    <w:p>
      <w:pPr>
        <w:ind w:firstLine="480"/>
        <w:jc w:val="left"/>
        <w:spacing w:before="60" w:after="60" w:line="420" w:lineRule="exact"/>
        <w:rPr>
          <w:rFonts w:hint="eastAsia" w:ascii="宋体" w:hAnsi="宋体" w:eastAsia="宋体"/>
          <w:sz w:val="24"/>
          <w:shd w:val="clear" w:color="auto" w:fill="ffffff" w:themeFill="background1"/>
        </w:rPr>
      </w:pPr>
      <w:r/>
      <w:bookmarkStart w:id="39" w:name="OLE_LINK76"/>
      <w:r>
        <w:rPr>
          <w:rFonts w:hint="eastAsia" w:ascii="宋体" w:hAnsi="宋体" w:eastAsia="宋体" w:cs="宋体"/>
          <w:color w:val="000000"/>
          <w:sz w:val="24"/>
        </w:rPr>
        <w:t xml:space="preserve">本项目为非预留份额的采购项目或采购包，执行价格扣除优惠政策，给予小微型企业、监狱企业或残疾人福利性单位报价的20%扣除，用扣除后的价格参加评审。价格扣除比例对小型企业和微型企业同等对待，不作区分。监狱企业、残疾人福利单位属于小型、微型企业的，不重复享受政策。</w:t>
      </w:r>
      <w:bookmarkEnd w:id="39"/>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（三）本项目的特定资格要求：</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投标人必须是在中国境内注册，具有中华人民共和国工业和信息化部颁发的中华人民共和国基础电信业务经营许可证的运营商或经过总公司授权的分（支）公司。</w:t>
      </w:r>
      <w:r/>
    </w:p>
    <w:p>
      <w:pPr>
        <w:pStyle w:val="788"/>
        <w:ind w:firstLine="482"/>
        <w:keepLines/>
        <w:keepNext/>
        <w:spacing w:before="60" w:beforeAutospacing="0" w:after="60" w:afterAutospacing="0" w:line="420" w:lineRule="exact"/>
        <w:rPr>
          <w:rFonts w:hint="eastAsia" w:ascii="宋体" w:hAnsi="宋体" w:eastAsia="宋体" w:cs="宋体"/>
        </w:rPr>
      </w:pPr>
      <w:r>
        <w:rPr>
          <w:rFonts w:hint="eastAsia" w:ascii="宋体" w:hAnsi="宋体" w:eastAsia="宋体" w:cs="宋体"/>
          <w:b/>
          <w:color w:val="000000"/>
        </w:rPr>
        <w:t xml:space="preserve">三、获取招标文件</w:t>
      </w:r>
      <w:r/>
    </w:p>
    <w:p>
      <w:pPr>
        <w:ind w:firstLine="480"/>
        <w:jc w:val="left"/>
        <w:spacing w:before="60" w:after="60" w:line="420" w:lineRule="exact"/>
        <w:rPr>
          <w:rFonts w:hint="eastAsia" w:ascii="宋体" w:hAnsi="宋体" w:eastAsia="宋体"/>
          <w:sz w:val="24"/>
          <w:shd w:val="clear" w:color="auto" w:fill="ffffff" w:themeFill="background1"/>
        </w:rPr>
      </w:pPr>
      <w:r/>
      <w:bookmarkStart w:id="40" w:name="_Toc28359005"/>
      <w:r/>
      <w:bookmarkStart w:id="41" w:name="_Toc35393793"/>
      <w:r/>
      <w:bookmarkStart w:id="42" w:name="_Toc35393624"/>
      <w:r/>
      <w:bookmarkStart w:id="43" w:name="_Toc28359082"/>
      <w:r/>
      <w:bookmarkStart w:id="44" w:name="_Toc38985266"/>
      <w:r>
        <w:rPr>
          <w:rFonts w:hint="eastAsia" w:ascii="宋体" w:hAnsi="宋体" w:eastAsia="宋体"/>
          <w:sz w:val="24"/>
          <w:shd w:val="clear" w:color="auto" w:fill="ffffff" w:themeFill="background1"/>
        </w:rPr>
        <w:t xml:space="preserve">1.时间：</w:t>
      </w:r>
      <w:bookmarkEnd w:id="40"/>
      <w:r/>
      <w:bookmarkEnd w:id="41"/>
      <w:r/>
      <w:bookmarkEnd w:id="42"/>
      <w:r/>
      <w:bookmarkEnd w:id="43"/>
      <w:r/>
      <w:bookmarkEnd w:id="44"/>
      <w:r>
        <w:rPr>
          <w:rFonts w:hint="eastAsia" w:ascii="宋体" w:hAnsi="宋体" w:eastAsia="宋体"/>
          <w:sz w:val="24"/>
          <w:shd w:val="clear" w:color="auto" w:fill="ffffff" w:themeFill="background1"/>
        </w:rPr>
        <w:t xml:space="preserve">自招标文件公告发布之日起5个工作日。</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2.地点：“苏采云”系统内免费下载（投标人必须在苏采云系统中获取采购文件，方能参与政府采购项目）</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3.方式：本项目采用网上注册登记方式。 </w:t>
      </w:r>
      <w:r/>
    </w:p>
    <w:p>
      <w:pPr>
        <w:ind w:firstLine="480"/>
        <w:jc w:val="left"/>
        <w:spacing w:before="60" w:after="60" w:line="420" w:lineRule="exact"/>
        <w:widowControl/>
        <w:rPr>
          <w:rFonts w:hint="eastAsia" w:ascii="宋体" w:hAnsi="宋体" w:eastAsia="宋体" w:cs="宋体"/>
          <w:sz w:val="24"/>
        </w:rPr>
      </w:pPr>
      <w:r>
        <w:rPr>
          <w:rFonts w:hint="eastAsia" w:ascii="宋体" w:hAnsi="宋体" w:eastAsia="宋体" w:cs="宋体"/>
          <w:color w:val="000000"/>
          <w:sz w:val="24"/>
        </w:rPr>
        <w:t xml:space="preserve">4.售价：0元</w:t>
      </w:r>
      <w:r/>
    </w:p>
    <w:p>
      <w:pPr>
        <w:pStyle w:val="788"/>
        <w:ind w:firstLine="482"/>
        <w:keepLines/>
        <w:keepNext/>
        <w:spacing w:before="60" w:beforeAutospacing="0" w:after="60" w:afterAutospacing="0" w:line="420" w:lineRule="exact"/>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before="60" w:after="60" w:line="420" w:lineRule="exact"/>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1.时间：2026年</w:t>
      </w:r>
      <w:r>
        <w:rPr>
          <w:rFonts w:hint="eastAsia" w:ascii="宋体" w:hAnsi="宋体" w:eastAsia="宋体"/>
          <w:sz w:val="24"/>
          <w:shd w:val="clear" w:color="auto" w:fill="ffffff" w:themeFill="background1"/>
          <w:lang w:val="en-US" w:eastAsia="zh-CN"/>
        </w:rPr>
        <w:t xml:space="preserve">6</w:t>
      </w:r>
      <w:r>
        <w:rPr>
          <w:rFonts w:hint="eastAsia" w:ascii="宋体" w:hAnsi="宋体" w:eastAsia="宋体"/>
          <w:sz w:val="24"/>
          <w:shd w:val="clear" w:color="auto" w:fill="ffffff" w:themeFill="background1"/>
        </w:rPr>
        <w:t xml:space="preserve">月</w:t>
      </w:r>
      <w:r>
        <w:rPr>
          <w:rFonts w:hint="eastAsia" w:ascii="宋体" w:hAnsi="宋体" w:eastAsia="宋体"/>
          <w:sz w:val="24"/>
          <w:shd w:val="clear" w:color="auto" w:fill="ffffff" w:themeFill="background1"/>
          <w:lang w:val="en-US" w:eastAsia="zh-CN"/>
        </w:rPr>
        <w:t xml:space="preserve">5</w:t>
      </w:r>
      <w:r>
        <w:rPr>
          <w:rFonts w:hint="eastAsia" w:ascii="宋体" w:hAnsi="宋体" w:eastAsia="宋体"/>
          <w:sz w:val="24"/>
          <w:shd w:val="clear" w:color="auto" w:fill="ffffff" w:themeFill="background1"/>
        </w:rPr>
        <w:t xml:space="preserve">日</w:t>
      </w:r>
      <w:r>
        <w:rPr>
          <w:rFonts w:hint="eastAsia" w:ascii="宋体" w:hAnsi="宋体" w:eastAsia="宋体"/>
          <w:sz w:val="24"/>
          <w:shd w:val="clear" w:color="auto" w:fill="ffffff" w:themeFill="background1"/>
          <w:lang w:val="en-US" w:eastAsia="zh-CN"/>
        </w:rPr>
        <w:t xml:space="preserve">9</w:t>
      </w:r>
      <w:r>
        <w:rPr>
          <w:rFonts w:hint="eastAsia" w:ascii="宋体" w:hAnsi="宋体" w:eastAsia="宋体"/>
          <w:sz w:val="24"/>
          <w:shd w:val="clear" w:color="auto" w:fill="ffffff" w:themeFill="background1"/>
        </w:rPr>
        <w:t xml:space="preserve">点</w:t>
      </w:r>
      <w:r>
        <w:rPr>
          <w:rFonts w:hint="eastAsia" w:ascii="宋体" w:hAnsi="宋体" w:eastAsia="宋体"/>
          <w:sz w:val="24"/>
          <w:shd w:val="clear" w:color="auto" w:fill="ffffff" w:themeFill="background1"/>
          <w:lang w:val="en-US" w:eastAsia="zh-CN"/>
        </w:rPr>
        <w:t xml:space="preserve">00</w:t>
      </w:r>
      <w:r>
        <w:rPr>
          <w:rFonts w:hint="eastAsia" w:ascii="宋体" w:hAnsi="宋体" w:eastAsia="宋体"/>
          <w:sz w:val="24"/>
          <w:shd w:val="clear" w:color="auto" w:fill="ffffff" w:themeFill="background1"/>
        </w:rPr>
        <w:t xml:space="preserve">分（北京时间）</w:t>
      </w:r>
      <w:r/>
    </w:p>
    <w:p>
      <w:pPr>
        <w:pStyle w:val="788"/>
        <w:ind w:firstLine="480"/>
        <w:spacing w:before="60" w:beforeAutospacing="0" w:after="60" w:afterAutospacing="0" w:line="420" w:lineRule="exact"/>
        <w:rPr>
          <w:rFonts w:hint="eastAsia" w:ascii="宋体" w:hAnsi="宋体" w:eastAsia="宋体" w:cs="宋体"/>
        </w:rPr>
      </w:pPr>
      <w:r>
        <w:rPr>
          <w:rFonts w:hint="eastAsia" w:ascii="宋体" w:hAnsi="宋体" w:eastAsia="宋体" w:cs="宋体"/>
          <w:color w:val="000000"/>
        </w:rPr>
        <w:t xml:space="preserve">2.地点：苏采云“不见面”开标大厅 。</w:t>
      </w:r>
      <w:r/>
    </w:p>
    <w:p>
      <w:pPr>
        <w:pStyle w:val="788"/>
        <w:ind w:firstLine="482"/>
        <w:keepLines/>
        <w:keepNext/>
        <w:spacing w:before="60" w:beforeAutospacing="0" w:after="60" w:afterAutospacing="0" w:line="420" w:lineRule="exact"/>
        <w:rPr>
          <w:rFonts w:hint="eastAsia" w:ascii="宋体" w:hAnsi="宋体" w:eastAsia="宋体" w:cs="宋体"/>
        </w:rPr>
      </w:pPr>
      <w:r/>
      <w:bookmarkStart w:id="45" w:name="_Toc38985267"/>
      <w:r/>
      <w:bookmarkStart w:id="46" w:name="_Toc28359007"/>
      <w:r/>
      <w:bookmarkStart w:id="47" w:name="_Toc28359084"/>
      <w:r/>
      <w:bookmarkStart w:id="48" w:name="_Toc35393794"/>
      <w:r/>
      <w:bookmarkStart w:id="49" w:name="_Toc35393625"/>
      <w:r>
        <w:rPr>
          <w:rFonts w:hint="eastAsia" w:ascii="宋体" w:hAnsi="宋体" w:eastAsia="宋体" w:cs="宋体"/>
          <w:b/>
          <w:color w:val="000000"/>
        </w:rPr>
        <w:t xml:space="preserve">五、公告期限</w:t>
      </w:r>
      <w:bookmarkEnd w:id="45"/>
      <w:r/>
      <w:bookmarkEnd w:id="46"/>
      <w:r/>
      <w:bookmarkEnd w:id="47"/>
      <w:r/>
      <w:bookmarkEnd w:id="48"/>
      <w:r/>
      <w:bookmarkEnd w:id="49"/>
      <w:r/>
      <w:r/>
    </w:p>
    <w:p>
      <w:pPr>
        <w:ind w:firstLine="480"/>
        <w:jc w:val="left"/>
        <w:spacing w:before="60" w:after="60" w:line="420" w:lineRule="exact"/>
        <w:rPr>
          <w:rFonts w:hint="eastAsia" w:ascii="宋体" w:hAnsi="宋体" w:eastAsia="宋体"/>
          <w:sz w:val="24"/>
          <w:shd w:val="clear" w:color="auto" w:fill="ffffff" w:themeFill="background1"/>
        </w:rPr>
      </w:pPr>
      <w:r/>
      <w:bookmarkStart w:id="50" w:name="_Toc35393626"/>
      <w:r/>
      <w:bookmarkStart w:id="51" w:name="_Toc38985268"/>
      <w:r/>
      <w:bookmarkStart w:id="52" w:name="_Toc35393795"/>
      <w:r>
        <w:rPr>
          <w:rFonts w:hint="eastAsia" w:ascii="宋体" w:hAnsi="宋体" w:eastAsia="宋体"/>
          <w:sz w:val="24"/>
          <w:shd w:val="clear" w:color="auto" w:fill="ffffff" w:themeFill="background1"/>
        </w:rPr>
        <w:t xml:space="preserve">自本公告发布之日起5个工作日。</w:t>
      </w:r>
      <w:bookmarkEnd w:id="50"/>
      <w:r/>
      <w:bookmarkEnd w:id="51"/>
      <w:r/>
      <w:bookmarkEnd w:id="52"/>
      <w:r/>
      <w:r/>
    </w:p>
    <w:p>
      <w:pPr>
        <w:pStyle w:val="788"/>
        <w:ind w:firstLine="482"/>
        <w:keepLines/>
        <w:keepNext/>
        <w:spacing w:before="60" w:beforeAutospacing="0" w:after="60" w:afterAutospacing="0" w:line="420" w:lineRule="exact"/>
        <w:rPr>
          <w:rFonts w:hint="eastAsia" w:ascii="宋体" w:hAnsi="宋体" w:eastAsia="宋体" w:cs="宋体"/>
        </w:rPr>
      </w:pPr>
      <w:r>
        <w:rPr>
          <w:rFonts w:hint="eastAsia" w:ascii="宋体" w:hAnsi="宋体" w:eastAsia="宋体" w:cs="宋体"/>
          <w:b/>
          <w:color w:val="000000"/>
        </w:rPr>
        <w:t xml:space="preserve">六、其他补充事宜</w:t>
      </w:r>
      <w:r/>
    </w:p>
    <w:p>
      <w:pPr>
        <w:pStyle w:val="788"/>
        <w:ind w:firstLine="480"/>
        <w:spacing w:before="60" w:beforeAutospacing="0" w:after="60" w:afterAutospacing="0" w:line="420" w:lineRule="exact"/>
        <w:rPr>
          <w:rFonts w:hint="eastAsia" w:ascii="宋体" w:hAnsi="宋体" w:eastAsia="宋体" w:cs="宋体"/>
          <w:color w:val="000000"/>
        </w:rPr>
      </w:pPr>
      <w:r/>
      <w:bookmarkStart w:id="53" w:name="_Toc28359018"/>
      <w:r>
        <w:rPr>
          <w:rFonts w:hint="eastAsia" w:ascii="宋体" w:hAnsi="宋体" w:eastAsia="宋体" w:cs="宋体"/>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如潜在投标人未按上述要求操作，将自行承担所产生的风险。</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3.有关本次招标的事项若存在变动或修改，敬请及时关注采购代理机构在“中国政府采购网”、“江苏政府采购网”、“盐城市政府采购网”发布的更正公告。</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4.</w:t>
      </w:r>
      <w:bookmarkStart w:id="54" w:name="OLE_LINK11"/>
      <w:r>
        <w:rPr>
          <w:rFonts w:hint="eastAsia" w:ascii="宋体" w:hAnsi="宋体" w:eastAsia="宋体" w:cs="宋体"/>
          <w:color w:val="000000"/>
        </w:rPr>
        <w:t xml:space="preserve">本次招标不收取投标保证金，不收取质量保证金</w:t>
      </w:r>
      <w:bookmarkEnd w:id="54"/>
      <w:r>
        <w:rPr>
          <w:rFonts w:hint="eastAsia" w:ascii="宋体" w:hAnsi="宋体" w:eastAsia="宋体" w:cs="宋体"/>
          <w:color w:val="000000"/>
        </w:rPr>
        <w:t xml:space="preserve">。</w:t>
      </w:r>
      <w:r/>
    </w:p>
    <w:p>
      <w:pPr>
        <w:pStyle w:val="788"/>
        <w:ind w:firstLine="480"/>
        <w:spacing w:before="60" w:beforeAutospacing="0" w:after="60" w:afterAutospacing="0" w:line="420" w:lineRule="exact"/>
        <w:rPr>
          <w:rFonts w:hint="eastAsia" w:ascii="宋体" w:hAnsi="宋体" w:eastAsia="宋体" w:cs="宋体"/>
          <w:color w:val="000000"/>
        </w:rPr>
      </w:pPr>
      <w:r>
        <w:rPr>
          <w:rFonts w:hint="eastAsia" w:ascii="宋体" w:hAnsi="宋体" w:eastAsia="宋体" w:cs="宋体"/>
          <w:color w:val="000000"/>
        </w:rPr>
        <w:t xml:space="preserve">5.本</w:t>
      </w:r>
      <w:bookmarkStart w:id="55" w:name="OLE_LINK21"/>
      <w:r>
        <w:rPr>
          <w:rFonts w:hint="eastAsia" w:ascii="宋体" w:hAnsi="宋体" w:eastAsia="宋体" w:cs="宋体"/>
          <w:color w:val="000000"/>
        </w:rPr>
        <w:t xml:space="preserve">项目严</w:t>
      </w:r>
      <w:bookmarkEnd w:id="55"/>
      <w:r>
        <w:rPr>
          <w:rFonts w:hint="eastAsia" w:ascii="宋体" w:hAnsi="宋体" w:eastAsia="宋体" w:cs="宋体"/>
          <w:color w:val="000000"/>
        </w:rPr>
        <w:t xml:space="preserve">格按照财库[2026]2号文的规定，进行异常低价投标的审查程序。</w:t>
      </w:r>
      <w:r/>
    </w:p>
    <w:p>
      <w:pPr>
        <w:pStyle w:val="788"/>
        <w:ind w:firstLine="482"/>
        <w:keepLines/>
        <w:keepNext/>
        <w:spacing w:before="60" w:beforeAutospacing="0" w:after="60" w:afterAutospacing="0" w:line="420" w:lineRule="exact"/>
        <w:rPr>
          <w:rFonts w:hint="eastAsia" w:ascii="宋体" w:hAnsi="宋体" w:eastAsia="宋体" w:cs="宋体"/>
          <w:b/>
          <w:color w:val="000000"/>
        </w:rPr>
      </w:pPr>
      <w:r>
        <w:rPr>
          <w:rFonts w:hint="eastAsia" w:ascii="宋体" w:hAnsi="宋体" w:eastAsia="宋体" w:cs="宋体"/>
          <w:b/>
          <w:color w:val="000000"/>
        </w:rPr>
        <w:t xml:space="preserve">七、对本次招标提出询问，请按以下方式联系</w:t>
      </w:r>
      <w:bookmarkEnd w:id="53"/>
      <w:r/>
      <w:r/>
    </w:p>
    <w:p>
      <w:pPr>
        <w:ind w:firstLine="480"/>
        <w:spacing w:before="60" w:after="60" w:line="420" w:lineRule="exact"/>
        <w:rPr>
          <w:rFonts w:hint="eastAsia" w:ascii="宋体" w:hAnsi="宋体" w:eastAsia="宋体"/>
          <w:sz w:val="24"/>
        </w:rPr>
      </w:pPr>
      <w:r/>
      <w:bookmarkStart w:id="56" w:name="OLE_LINK23"/>
      <w:r>
        <w:rPr>
          <w:rFonts w:hint="eastAsia" w:ascii="宋体" w:hAnsi="宋体" w:eastAsia="宋体"/>
          <w:sz w:val="24"/>
        </w:rPr>
        <w:t xml:space="preserve">1.采购人信息</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名 称：响水县教育局</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地 址：响水县城黄海路98号</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联系人：刘先生</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联系方式：</w:t>
      </w:r>
      <w:bookmarkEnd w:id="56"/>
      <w:r>
        <w:rPr>
          <w:rFonts w:hint="eastAsia" w:ascii="宋体" w:hAnsi="宋体" w:eastAsia="宋体"/>
          <w:sz w:val="24"/>
        </w:rPr>
        <w:t xml:space="preserve">13815500033</w:t>
      </w:r>
      <w:r/>
    </w:p>
    <w:p>
      <w:pPr>
        <w:ind w:firstLine="480"/>
        <w:spacing w:before="60" w:after="60" w:line="420" w:lineRule="exact"/>
        <w:rPr>
          <w:rFonts w:hint="eastAsia" w:ascii="宋体" w:hAnsi="宋体" w:eastAsia="宋体"/>
          <w:sz w:val="24"/>
        </w:rPr>
      </w:pPr>
      <w:r/>
      <w:bookmarkStart w:id="57" w:name="_Toc28359087"/>
      <w:r/>
      <w:bookmarkStart w:id="58" w:name="_Toc28359010"/>
      <w:r>
        <w:rPr>
          <w:rFonts w:hint="eastAsia" w:ascii="宋体" w:hAnsi="宋体" w:eastAsia="宋体"/>
          <w:sz w:val="24"/>
        </w:rPr>
        <w:t xml:space="preserve">2.采购代理机构信息</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名 称：盐城文力项目管理有限公司　</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地　址：响水县城幸福南路107号　</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联系人：蒋工</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联系方式：19551288069</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3.项目联系方式</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项目联系人：蒋工</w:t>
      </w:r>
      <w:r/>
    </w:p>
    <w:p>
      <w:pPr>
        <w:ind w:firstLine="480"/>
        <w:spacing w:before="60" w:after="60" w:line="420" w:lineRule="exact"/>
        <w:rPr>
          <w:rFonts w:hint="eastAsia" w:ascii="宋体" w:hAnsi="宋体" w:eastAsia="宋体"/>
          <w:sz w:val="24"/>
        </w:rPr>
      </w:pPr>
      <w:r>
        <w:rPr>
          <w:rFonts w:hint="eastAsia" w:ascii="宋体" w:hAnsi="宋体" w:eastAsia="宋体"/>
          <w:sz w:val="24"/>
        </w:rPr>
        <w:t xml:space="preserve">电　话：</w:t>
      </w:r>
      <w:bookmarkEnd w:id="57"/>
      <w:r/>
      <w:bookmarkEnd w:id="58"/>
      <w:r>
        <w:rPr>
          <w:rFonts w:hint="eastAsia" w:ascii="宋体" w:hAnsi="宋体" w:eastAsia="宋体"/>
          <w:sz w:val="24"/>
        </w:rPr>
        <w:t xml:space="preserve">19551288069</w:t>
      </w:r>
      <w:r/>
    </w:p>
    <w:p>
      <w:pPr>
        <w:ind w:firstLine="480"/>
        <w:spacing w:before="60" w:after="60" w:line="420" w:lineRule="exact"/>
        <w:rPr>
          <w:rFonts w:hint="eastAsia" w:ascii="宋体" w:hAnsi="宋体" w:eastAsia="宋体"/>
          <w:sz w:val="24"/>
        </w:rPr>
      </w:pPr>
      <w:r/>
      <w:bookmarkStart w:id="59" w:name="_Toc120614211"/>
      <w:r>
        <w:rPr>
          <w:rFonts w:hint="eastAsia" w:ascii="宋体" w:hAnsi="宋体" w:eastAsia="宋体"/>
          <w:sz w:val="24"/>
        </w:rPr>
        <w:br w:type="page" w:clear="all"/>
      </w:r>
      <w:r/>
    </w:p>
    <w:p>
      <w:pPr>
        <w:pStyle w:val="788"/>
        <w:ind w:firstLine="2209"/>
        <w:keepLines/>
        <w:keepNext/>
        <w:spacing w:before="260" w:beforeAutospacing="0" w:after="260" w:afterAutospacing="0" w:line="415" w:lineRule="auto"/>
      </w:pPr>
      <w:r>
        <w:rPr>
          <w:rFonts w:hint="eastAsia" w:ascii="黑体" w:hAnsi="宋体" w:eastAsia="黑体" w:cs="黑体"/>
          <w:b/>
          <w:color w:val="000000"/>
          <w:sz w:val="44"/>
          <w:szCs w:val="44"/>
        </w:rPr>
        <w:t xml:space="preserve">第二章  </w:t>
      </w:r>
      <w:bookmarkEnd w:id="59"/>
      <w:r/>
      <w:bookmarkStart w:id="60" w:name="_Toc16938518"/>
      <w:r/>
      <w:bookmarkStart w:id="61" w:name="_Toc20823274"/>
      <w:r/>
      <w:bookmarkStart w:id="62" w:name="_Toc120614213"/>
      <w:r/>
      <w:bookmarkStart w:id="63" w:name="_Toc513029202"/>
      <w:r>
        <w:rPr>
          <w:rFonts w:hint="eastAsia" w:ascii="黑体" w:hAnsi="宋体" w:eastAsia="黑体" w:cs="黑体"/>
          <w:b/>
          <w:color w:val="000000"/>
          <w:sz w:val="44"/>
          <w:szCs w:val="44"/>
        </w:rPr>
        <w:t xml:space="preserve">投标人须知</w:t>
      </w:r>
      <w:bookmarkEnd w:id="60"/>
      <w:r/>
      <w:bookmarkEnd w:id="61"/>
      <w:r/>
      <w:bookmarkEnd w:id="62"/>
      <w:r/>
      <w:bookmarkEnd w:id="63"/>
      <w:r/>
      <w:r/>
    </w:p>
    <w:p>
      <w:pPr>
        <w:pStyle w:val="788"/>
        <w:ind w:firstLine="482"/>
        <w:keepLines/>
        <w:keepNext/>
        <w:spacing w:before="145" w:beforeAutospacing="0" w:after="145" w:afterAutospacing="0" w:line="360" w:lineRule="auto"/>
        <w:rPr>
          <w:rFonts w:hint="eastAsia" w:ascii="宋体" w:hAnsi="宋体" w:eastAsia="宋体" w:cs="宋体"/>
        </w:rPr>
      </w:pPr>
      <w:r/>
      <w:bookmarkStart w:id="64" w:name="_Toc20823275"/>
      <w:r/>
      <w:bookmarkStart w:id="65" w:name="_Toc120614214"/>
      <w:r/>
      <w:bookmarkStart w:id="66" w:name="_Toc16938519"/>
      <w:r/>
      <w:bookmarkStart w:id="67" w:name="_Toc513029203"/>
      <w:r>
        <w:rPr>
          <w:rFonts w:hint="eastAsia" w:ascii="宋体" w:hAnsi="宋体" w:eastAsia="宋体" w:cs="宋体"/>
          <w:b/>
          <w:color w:val="000000"/>
        </w:rPr>
        <w:t xml:space="preserve">一、总则</w:t>
      </w:r>
      <w:bookmarkEnd w:id="64"/>
      <w:r/>
      <w:bookmarkEnd w:id="65"/>
      <w:r/>
      <w:bookmarkEnd w:id="66"/>
      <w:r/>
      <w:bookmarkEnd w:id="67"/>
      <w:r/>
      <w:r/>
    </w:p>
    <w:p>
      <w:pPr>
        <w:pStyle w:val="788"/>
        <w:ind w:firstLine="480"/>
        <w:keepLines/>
        <w:keepNext/>
        <w:spacing w:beforeAutospacing="0" w:afterAutospacing="0" w:line="360" w:lineRule="auto"/>
        <w:rPr>
          <w:rFonts w:hint="eastAsia" w:ascii="宋体" w:hAnsi="宋体" w:eastAsia="宋体" w:cs="宋体"/>
        </w:rPr>
      </w:pPr>
      <w:r/>
      <w:bookmarkStart w:id="68" w:name="_Toc20823276"/>
      <w:r/>
      <w:bookmarkStart w:id="69" w:name="_Toc513029204"/>
      <w:r/>
      <w:bookmarkStart w:id="70" w:name="_Toc458694821"/>
      <w:r/>
      <w:bookmarkStart w:id="71" w:name="_Toc16938520"/>
      <w:r/>
      <w:bookmarkStart w:id="72" w:name="_Hlt16619475"/>
      <w:r>
        <w:rPr>
          <w:rFonts w:hint="eastAsia" w:ascii="宋体" w:hAnsi="宋体" w:eastAsia="宋体" w:cs="宋体"/>
          <w:color w:val="000000"/>
        </w:rPr>
        <w:t xml:space="preserve">1</w:t>
      </w:r>
      <w:bookmarkEnd w:id="68"/>
      <w:r>
        <w:rPr>
          <w:rFonts w:hint="eastAsia" w:ascii="宋体" w:hAnsi="宋体" w:eastAsia="宋体" w:cs="宋体"/>
          <w:color w:val="000000"/>
        </w:rPr>
        <w:t xml:space="preserve">、招标方式</w:t>
      </w:r>
      <w:bookmarkEnd w:id="69"/>
      <w:r/>
      <w:bookmarkEnd w:id="70"/>
      <w:r/>
      <w:bookmarkEnd w:id="71"/>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788"/>
        <w:ind w:firstLine="480"/>
        <w:keepLines/>
        <w:keepNext/>
        <w:spacing w:beforeAutospacing="0" w:afterAutospacing="0" w:line="360" w:lineRule="auto"/>
        <w:rPr>
          <w:rFonts w:hint="eastAsia" w:ascii="宋体" w:hAnsi="宋体" w:eastAsia="宋体" w:cs="宋体"/>
        </w:rPr>
      </w:pPr>
      <w:r/>
      <w:bookmarkStart w:id="73" w:name="_Toc513029205"/>
      <w:r/>
      <w:bookmarkStart w:id="74" w:name="_Toc20823277"/>
      <w:r/>
      <w:bookmarkStart w:id="75" w:name="_Toc16938521"/>
      <w:r>
        <w:rPr>
          <w:rFonts w:hint="eastAsia" w:ascii="宋体" w:hAnsi="宋体" w:eastAsia="宋体" w:cs="宋体"/>
          <w:color w:val="000000"/>
        </w:rPr>
        <w:t xml:space="preserve">2、合格的投标人</w:t>
      </w:r>
      <w:bookmarkEnd w:id="73"/>
      <w:r/>
      <w:bookmarkEnd w:id="74"/>
      <w:r/>
      <w:bookmarkEnd w:id="75"/>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 满足本文件实质性要求和条件的规定。</w:t>
      </w:r>
      <w:r/>
    </w:p>
    <w:p>
      <w:pPr>
        <w:pStyle w:val="788"/>
        <w:ind w:firstLine="480"/>
        <w:keepLines/>
        <w:keepNext/>
        <w:spacing w:beforeAutospacing="0" w:afterAutospacing="0" w:line="360" w:lineRule="auto"/>
        <w:rPr>
          <w:rFonts w:hint="eastAsia" w:ascii="宋体" w:hAnsi="宋体" w:eastAsia="宋体" w:cs="宋体"/>
        </w:rPr>
      </w:pPr>
      <w:r/>
      <w:bookmarkStart w:id="76" w:name="_Toc16938522"/>
      <w:r/>
      <w:bookmarkStart w:id="77" w:name="_Toc513029206"/>
      <w:r/>
      <w:bookmarkStart w:id="78" w:name="_Toc20823278"/>
      <w:r>
        <w:rPr>
          <w:rFonts w:hint="eastAsia" w:ascii="宋体" w:hAnsi="宋体" w:eastAsia="宋体" w:cs="宋体"/>
          <w:color w:val="000000"/>
        </w:rPr>
        <w:t xml:space="preserve">3、适用法律</w:t>
      </w:r>
      <w:bookmarkEnd w:id="76"/>
      <w:r/>
      <w:bookmarkEnd w:id="77"/>
      <w:r/>
      <w:bookmarkEnd w:id="78"/>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p>
    <w:p>
      <w:pPr>
        <w:pStyle w:val="788"/>
        <w:ind w:firstLine="480"/>
        <w:keepLines/>
        <w:keepNext/>
        <w:spacing w:beforeAutospacing="0" w:afterAutospacing="0" w:line="360" w:lineRule="auto"/>
        <w:rPr>
          <w:rFonts w:hint="eastAsia" w:ascii="宋体" w:hAnsi="宋体" w:eastAsia="宋体" w:cs="宋体"/>
        </w:rPr>
      </w:pPr>
      <w:r/>
      <w:bookmarkStart w:id="79" w:name="_Toc462564067"/>
      <w:r/>
      <w:bookmarkStart w:id="80" w:name="_Toc20823279"/>
      <w:r/>
      <w:bookmarkStart w:id="81" w:name="_Toc513029207"/>
      <w:r/>
      <w:bookmarkStart w:id="82" w:name="_Toc16938523"/>
      <w:r>
        <w:rPr>
          <w:rFonts w:hint="eastAsia" w:ascii="宋体" w:hAnsi="宋体" w:eastAsia="宋体" w:cs="宋体"/>
          <w:color w:val="000000"/>
        </w:rPr>
        <w:t xml:space="preserve">4、投标费用</w:t>
      </w:r>
      <w:bookmarkEnd w:id="79"/>
      <w:r/>
      <w:bookmarkEnd w:id="80"/>
      <w:r/>
      <w:bookmarkEnd w:id="81"/>
      <w:r/>
      <w:bookmarkEnd w:id="82"/>
      <w:r/>
      <w:r/>
    </w:p>
    <w:p>
      <w:pPr>
        <w:pStyle w:val="788"/>
        <w:ind w:firstLine="48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在任何情况下均无义务和责任承担这些费用。</w:t>
      </w:r>
      <w:r/>
    </w:p>
    <w:p>
      <w:pPr>
        <w:pStyle w:val="788"/>
        <w:ind w:firstLine="48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4.2 本项目采购代理服务费执行苏招协[2022]002号计取，包含在投标总价中不得单独列项，由中标人在领取中标通知书时一次性支付给代理机构。</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bCs/>
          <w:color w:val="000000"/>
        </w:rPr>
        <w:t xml:space="preserve">5、</w:t>
      </w:r>
      <w:r>
        <w:rPr>
          <w:rFonts w:hint="eastAsia" w:ascii="宋体" w:hAnsi="宋体" w:eastAsia="宋体" w:cs="宋体"/>
          <w:color w:val="000000"/>
        </w:rPr>
        <w:t xml:space="preserve">招标文件的约束力</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788"/>
        <w:ind w:firstLine="482"/>
        <w:keepLines/>
        <w:keepNext/>
        <w:spacing w:before="145" w:beforeAutospacing="0" w:after="145" w:afterAutospacing="0" w:line="360" w:lineRule="auto"/>
        <w:rPr>
          <w:rFonts w:hint="eastAsia" w:ascii="宋体" w:hAnsi="宋体" w:eastAsia="宋体" w:cs="宋体"/>
        </w:rPr>
      </w:pPr>
      <w:r/>
      <w:bookmarkStart w:id="83" w:name="_Toc120614215"/>
      <w:r/>
      <w:bookmarkStart w:id="84" w:name="_Toc20823281"/>
      <w:r/>
      <w:bookmarkStart w:id="85" w:name="_Toc513029209"/>
      <w:r/>
      <w:bookmarkStart w:id="86" w:name="_Toc16938525"/>
      <w:r>
        <w:rPr>
          <w:rFonts w:hint="eastAsia" w:ascii="宋体" w:hAnsi="宋体" w:eastAsia="宋体" w:cs="宋体"/>
          <w:b/>
          <w:color w:val="000000"/>
        </w:rPr>
        <w:t xml:space="preserve">二、招标文件</w:t>
      </w:r>
      <w:bookmarkEnd w:id="83"/>
      <w:r/>
      <w:bookmarkEnd w:id="84"/>
      <w:r/>
      <w:bookmarkEnd w:id="85"/>
      <w:r/>
      <w:bookmarkEnd w:id="86"/>
      <w:r/>
      <w:r/>
    </w:p>
    <w:p>
      <w:pPr>
        <w:pStyle w:val="788"/>
        <w:ind w:firstLine="480"/>
        <w:keepLines/>
        <w:keepNext/>
        <w:spacing w:beforeAutospacing="0" w:afterAutospacing="0" w:line="360" w:lineRule="auto"/>
        <w:rPr>
          <w:rFonts w:hint="eastAsia" w:ascii="宋体" w:hAnsi="宋体" w:eastAsia="宋体" w:cs="宋体"/>
        </w:rPr>
      </w:pPr>
      <w:r/>
      <w:bookmarkStart w:id="87" w:name="_Toc20823282"/>
      <w:r/>
      <w:bookmarkStart w:id="88" w:name="_Toc16938526"/>
      <w:r/>
      <w:bookmarkStart w:id="89" w:name="_Toc513029210"/>
      <w:r>
        <w:rPr>
          <w:rFonts w:hint="eastAsia" w:ascii="宋体" w:hAnsi="宋体" w:eastAsia="宋体" w:cs="宋体"/>
          <w:color w:val="000000"/>
        </w:rPr>
        <w:t xml:space="preserve">6、招标文件构成</w:t>
      </w:r>
      <w:bookmarkEnd w:id="87"/>
      <w:r/>
      <w:bookmarkEnd w:id="88"/>
      <w:r/>
      <w:bookmarkEnd w:id="89"/>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788"/>
        <w:ind w:firstLine="480"/>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（1）招标公告</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联系解决。</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8"/>
        <w:ind w:firstLine="480"/>
        <w:keepLines/>
        <w:keepNext/>
        <w:spacing w:beforeAutospacing="0" w:afterAutospacing="0" w:line="360" w:lineRule="auto"/>
        <w:rPr>
          <w:rFonts w:hint="eastAsia" w:ascii="宋体" w:hAnsi="宋体" w:eastAsia="宋体" w:cs="宋体"/>
        </w:rPr>
      </w:pPr>
      <w:r/>
      <w:bookmarkStart w:id="90" w:name="_Toc513029211"/>
      <w:r/>
      <w:bookmarkStart w:id="91" w:name="_Toc462564070"/>
      <w:r/>
      <w:bookmarkStart w:id="92" w:name="_Toc16938527"/>
      <w:r/>
      <w:bookmarkStart w:id="93" w:name="_Toc20823283"/>
      <w:r>
        <w:rPr>
          <w:rFonts w:hint="eastAsia" w:ascii="宋体" w:hAnsi="宋体" w:eastAsia="宋体" w:cs="宋体"/>
          <w:color w:val="000000"/>
        </w:rPr>
        <w:t xml:space="preserve">7、招标文件的澄清</w:t>
      </w:r>
      <w:bookmarkEnd w:id="90"/>
      <w:r/>
      <w:bookmarkEnd w:id="91"/>
      <w:r/>
      <w:bookmarkEnd w:id="92"/>
      <w:r/>
      <w:bookmarkEnd w:id="93"/>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w:t>
      </w:r>
      <w:r/>
    </w:p>
    <w:p>
      <w:pPr>
        <w:pStyle w:val="788"/>
        <w:ind w:firstLine="480"/>
        <w:keepLines/>
        <w:keepNext/>
        <w:spacing w:beforeAutospacing="0" w:afterAutospacing="0" w:line="360" w:lineRule="auto"/>
        <w:rPr>
          <w:rFonts w:hint="eastAsia" w:ascii="宋体" w:hAnsi="宋体" w:eastAsia="宋体" w:cs="宋体"/>
        </w:rPr>
      </w:pPr>
      <w:r/>
      <w:bookmarkStart w:id="94" w:name="_Toc20823284"/>
      <w:r/>
      <w:bookmarkStart w:id="95" w:name="_Toc462564071"/>
      <w:r/>
      <w:bookmarkStart w:id="96" w:name="_Toc16938528"/>
      <w:r/>
      <w:bookmarkStart w:id="97" w:name="_Toc513029212"/>
      <w:r>
        <w:rPr>
          <w:rFonts w:hint="eastAsia" w:ascii="宋体" w:hAnsi="宋体" w:eastAsia="宋体" w:cs="宋体"/>
          <w:color w:val="000000"/>
        </w:rPr>
        <w:t xml:space="preserve">8、招标文件的修改</w:t>
      </w:r>
      <w:bookmarkEnd w:id="94"/>
      <w:r/>
      <w:bookmarkEnd w:id="95"/>
      <w:r/>
      <w:bookmarkEnd w:id="96"/>
      <w:r/>
      <w:bookmarkEnd w:id="97"/>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 在投标截止时间前，</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可以对招标文件进行修改。</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 </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有权按照法定的要求推迟投标截止日期和开标日期。</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788"/>
        <w:ind w:firstLine="482"/>
        <w:keepLines/>
        <w:keepNext/>
        <w:spacing w:before="145" w:beforeAutospacing="0" w:after="145" w:afterAutospacing="0" w:line="360" w:lineRule="auto"/>
        <w:rPr>
          <w:rFonts w:hint="eastAsia" w:ascii="宋体" w:hAnsi="宋体" w:eastAsia="宋体" w:cs="宋体"/>
        </w:rPr>
      </w:pPr>
      <w:r/>
      <w:bookmarkStart w:id="98" w:name="_Toc120614216"/>
      <w:r/>
      <w:bookmarkStart w:id="99" w:name="_Toc462564072"/>
      <w:r/>
      <w:bookmarkStart w:id="100" w:name="_Toc20823285"/>
      <w:r/>
      <w:bookmarkStart w:id="101" w:name="_Toc16938529"/>
      <w:r/>
      <w:bookmarkStart w:id="102" w:name="_Toc513029213"/>
      <w:r>
        <w:rPr>
          <w:rFonts w:hint="eastAsia" w:ascii="宋体" w:hAnsi="宋体" w:eastAsia="宋体" w:cs="宋体"/>
          <w:b/>
          <w:color w:val="000000"/>
        </w:rPr>
        <w:t xml:space="preserve">三、投标文件的编制</w:t>
      </w:r>
      <w:bookmarkEnd w:id="98"/>
      <w:r/>
      <w:bookmarkEnd w:id="99"/>
      <w:r/>
      <w:bookmarkEnd w:id="100"/>
      <w:r/>
      <w:bookmarkEnd w:id="101"/>
      <w:r/>
      <w:bookmarkEnd w:id="102"/>
      <w:r/>
      <w:r/>
    </w:p>
    <w:p>
      <w:pPr>
        <w:pStyle w:val="788"/>
        <w:ind w:firstLine="480"/>
        <w:keepLines/>
        <w:keepNext/>
        <w:spacing w:beforeAutospacing="0" w:afterAutospacing="0" w:line="360" w:lineRule="auto"/>
        <w:rPr>
          <w:rFonts w:hint="eastAsia" w:ascii="宋体" w:hAnsi="宋体" w:eastAsia="宋体" w:cs="宋体"/>
        </w:rPr>
      </w:pPr>
      <w:r/>
      <w:bookmarkStart w:id="103" w:name="_Toc16938530"/>
      <w:r/>
      <w:bookmarkStart w:id="104" w:name="_Toc20823286"/>
      <w:r/>
      <w:bookmarkStart w:id="105" w:name="_Toc513029214"/>
      <w:r/>
      <w:bookmarkStart w:id="106" w:name="_Toc462564073"/>
      <w:r>
        <w:rPr>
          <w:rFonts w:hint="eastAsia" w:ascii="宋体" w:hAnsi="宋体" w:eastAsia="宋体" w:cs="宋体"/>
          <w:color w:val="000000"/>
        </w:rPr>
        <w:t xml:space="preserve">9、投标文件的语言及度量衡单位</w:t>
      </w:r>
      <w:bookmarkEnd w:id="103"/>
      <w:r/>
      <w:bookmarkEnd w:id="104"/>
      <w:r/>
      <w:bookmarkEnd w:id="105"/>
      <w:r/>
      <w:bookmarkEnd w:id="106"/>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 投标人提交的投标文件以及投标人与</w:t>
      </w:r>
      <w:r>
        <w:rPr>
          <w:rFonts w:hint="eastAsia" w:ascii="宋体" w:hAnsi="宋体" w:eastAsia="宋体"/>
          <w:shd w:val="clear" w:color="auto" w:fill="ffffff" w:themeFill="background1"/>
        </w:rPr>
        <w:t xml:space="preserve">采购代理机构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788"/>
        <w:ind w:firstLine="480"/>
        <w:keepLines/>
        <w:keepNext/>
        <w:spacing w:beforeAutospacing="0" w:afterAutospacing="0" w:line="360" w:lineRule="auto"/>
        <w:rPr>
          <w:rFonts w:hint="eastAsia" w:ascii="宋体" w:hAnsi="宋体" w:eastAsia="宋体" w:cs="宋体"/>
        </w:rPr>
      </w:pPr>
      <w:r/>
      <w:bookmarkStart w:id="107" w:name="_Toc20823287"/>
      <w:r/>
      <w:bookmarkStart w:id="108" w:name="_Toc16938531"/>
      <w:r/>
      <w:bookmarkStart w:id="109" w:name="_Toc513029215"/>
      <w:r/>
      <w:bookmarkStart w:id="110" w:name="_Toc462564074"/>
      <w:r>
        <w:rPr>
          <w:rFonts w:hint="eastAsia" w:ascii="宋体" w:hAnsi="宋体" w:eastAsia="宋体" w:cs="宋体"/>
          <w:color w:val="000000"/>
        </w:rPr>
        <w:t xml:space="preserve">10、投标文件构成</w:t>
      </w:r>
      <w:bookmarkEnd w:id="107"/>
      <w:r/>
      <w:bookmarkEnd w:id="108"/>
      <w:r/>
      <w:bookmarkEnd w:id="109"/>
      <w:r/>
      <w:bookmarkEnd w:id="110"/>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投标人编写的投标文件应包括资格证明文件、符合性证明文件、投标分项报价表、技术需求响应及偏离表、商务需求响应及偏离表、其他证明文件、投标函、开标一览表等部分。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788"/>
        <w:ind w:firstLine="480"/>
        <w:keepLines/>
        <w:keepNext/>
        <w:spacing w:beforeAutospacing="0" w:afterAutospacing="0" w:line="360" w:lineRule="auto"/>
        <w:rPr>
          <w:rFonts w:hint="eastAsia" w:ascii="宋体" w:hAnsi="宋体" w:eastAsia="宋体" w:cs="宋体"/>
        </w:rPr>
      </w:pPr>
      <w:r/>
      <w:bookmarkStart w:id="111" w:name="_Toc49090508"/>
      <w:r/>
      <w:bookmarkStart w:id="112" w:name="_Toc513029216"/>
      <w:r/>
      <w:bookmarkStart w:id="113" w:name="_Toc14577357"/>
      <w:r/>
      <w:bookmarkStart w:id="114" w:name="_Toc513029219"/>
      <w:r/>
      <w:bookmarkStart w:id="115" w:name="_Toc14577355"/>
      <w:r/>
      <w:bookmarkStart w:id="116" w:name="_Toc49090509"/>
      <w:r/>
      <w:bookmarkStart w:id="117" w:name="_Toc49090507"/>
      <w:r/>
      <w:bookmarkStart w:id="118" w:name="_Toc14577354"/>
      <w:r/>
      <w:bookmarkStart w:id="119" w:name="_Hlt26954838"/>
      <w:r/>
      <w:bookmarkStart w:id="120" w:name="_Hlt26670360"/>
      <w:r/>
      <w:bookmarkStart w:id="121" w:name="_Hlt26668975"/>
      <w:r>
        <w:rPr>
          <w:rFonts w:hint="eastAsia" w:ascii="宋体" w:hAnsi="宋体" w:eastAsia="宋体" w:cs="宋体"/>
          <w:color w:val="000000"/>
        </w:rPr>
        <w:t xml:space="preserve">11、证明投标人及投标标的符合招标文件规定的文件</w:t>
      </w:r>
      <w:bookmarkEnd w:id="111"/>
      <w:r/>
      <w:bookmarkEnd w:id="112"/>
      <w:r/>
      <w:bookmarkEnd w:id="113"/>
      <w:r/>
      <w:bookmarkEnd w:id="114"/>
      <w:r/>
      <w:bookmarkEnd w:id="115"/>
      <w:r/>
      <w:bookmarkEnd w:id="116"/>
      <w:r/>
      <w:bookmarkEnd w:id="117"/>
      <w:r/>
      <w:bookmarkEnd w:id="118"/>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11.1 投标人应按照招标文件要求提交证明文件，证明其及投标标的符合招标文件规定。</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12、投标分项报价表</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788"/>
        <w:ind w:firstLine="480"/>
        <w:keepLines/>
        <w:keepNext/>
        <w:spacing w:beforeAutospacing="0" w:afterAutospacing="0" w:line="360" w:lineRule="auto"/>
        <w:rPr>
          <w:rFonts w:hint="eastAsia" w:ascii="宋体" w:hAnsi="宋体" w:eastAsia="宋体" w:cs="宋体"/>
        </w:rPr>
      </w:pPr>
      <w:r/>
      <w:bookmarkStart w:id="122" w:name="_Hlt26670482"/>
      <w:r/>
      <w:bookmarkStart w:id="123" w:name="_Hlt26954846"/>
      <w:r/>
      <w:bookmarkStart w:id="124" w:name="_Hlt26954848"/>
      <w:r/>
      <w:bookmarkStart w:id="125" w:name="_Hlt26954731"/>
      <w:r/>
      <w:bookmarkStart w:id="126" w:name="_Hlt26670486"/>
      <w:r>
        <w:rPr>
          <w:rFonts w:hint="eastAsia" w:ascii="宋体" w:hAnsi="宋体" w:eastAsia="宋体" w:cs="宋体"/>
          <w:color w:val="000000"/>
        </w:rPr>
        <w:t xml:space="preserve">13、技术需求响应及偏离表、商务需求响应及偏离表</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 投标人需对招标文件中的技术需求与商务需求逐项作出响应或偏离，并说明原因。</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14、服务承诺、培训计划、人员安排及其他</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 投标人需根据招标文件要求提供培训计划。</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14.3 投标人需根据招标文件要求提供所投标的的主要组成部分、功能设计、实现思路及关键技术等。</w:t>
      </w:r>
      <w:r/>
    </w:p>
    <w:p>
      <w:pPr>
        <w:pStyle w:val="788"/>
        <w:ind w:firstLine="480"/>
        <w:keepLines/>
        <w:keepNext/>
        <w:spacing w:beforeAutospacing="0" w:afterAutospacing="0" w:line="360" w:lineRule="auto"/>
        <w:rPr>
          <w:rFonts w:hint="eastAsia" w:ascii="宋体" w:hAnsi="宋体" w:eastAsia="宋体" w:cs="宋体"/>
        </w:rPr>
      </w:pPr>
      <w:r/>
      <w:bookmarkStart w:id="127" w:name="_Toc49090510"/>
      <w:r/>
      <w:bookmarkStart w:id="128" w:name="_Toc14577359"/>
      <w:r>
        <w:rPr>
          <w:rFonts w:hint="eastAsia" w:ascii="宋体" w:hAnsi="宋体" w:eastAsia="宋体" w:cs="宋体"/>
          <w:color w:val="000000"/>
        </w:rPr>
        <w:t xml:space="preserve">15、投标函和开标一览表</w:t>
      </w:r>
      <w:bookmarkEnd w:id="127"/>
      <w:r/>
      <w:bookmarkEnd w:id="128"/>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788"/>
        <w:ind w:firstLine="480"/>
        <w:keepLines/>
        <w:keepNext/>
        <w:spacing w:beforeAutospacing="0" w:afterAutospacing="0" w:line="360" w:lineRule="auto"/>
        <w:rPr>
          <w:rFonts w:hint="eastAsia" w:ascii="宋体" w:hAnsi="宋体" w:eastAsia="宋体" w:cs="宋体"/>
        </w:rPr>
      </w:pPr>
      <w:r/>
      <w:bookmarkStart w:id="129" w:name="_Toc14577360"/>
      <w:r/>
      <w:bookmarkStart w:id="130" w:name="_Toc49090511"/>
      <w:r>
        <w:rPr>
          <w:rFonts w:hint="eastAsia" w:ascii="宋体" w:hAnsi="宋体" w:eastAsia="宋体" w:cs="宋体"/>
          <w:color w:val="000000"/>
        </w:rPr>
        <w:t xml:space="preserve">16、投标有效期</w:t>
      </w:r>
      <w:bookmarkEnd w:id="129"/>
      <w:r/>
      <w:bookmarkEnd w:id="130"/>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16.1投标有效期为采购代理机构规定的开标之日后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17、投标有效期的延长</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88"/>
        <w:ind w:firstLine="482"/>
        <w:keepLines/>
        <w:keepNext/>
        <w:spacing w:before="145" w:beforeAutospacing="0" w:after="145" w:afterAutospacing="0" w:line="360" w:lineRule="auto"/>
        <w:rPr>
          <w:rFonts w:hint="eastAsia" w:ascii="宋体" w:hAnsi="宋体" w:eastAsia="宋体" w:cs="宋体"/>
        </w:rPr>
      </w:pPr>
      <w:r/>
      <w:bookmarkStart w:id="131" w:name="_Toc513029224"/>
      <w:r/>
      <w:bookmarkStart w:id="132" w:name="_Toc16938540"/>
      <w:r/>
      <w:bookmarkStart w:id="133" w:name="_Toc120614217"/>
      <w:r/>
      <w:bookmarkStart w:id="134" w:name="_Toc20823296"/>
      <w:r/>
      <w:bookmarkStart w:id="135" w:name="_Hlt26954852"/>
      <w:r/>
      <w:bookmarkStart w:id="136" w:name="_Hlt26954739"/>
      <w:r>
        <w:rPr>
          <w:rFonts w:hint="eastAsia" w:ascii="宋体" w:hAnsi="宋体" w:eastAsia="宋体" w:cs="宋体"/>
          <w:b/>
          <w:color w:val="000000"/>
        </w:rPr>
        <w:t xml:space="preserve">四、投标文件的递交</w:t>
      </w:r>
      <w:bookmarkEnd w:id="131"/>
      <w:r/>
      <w:bookmarkEnd w:id="132"/>
      <w:r/>
      <w:bookmarkEnd w:id="133"/>
      <w:r/>
      <w:bookmarkEnd w:id="134"/>
      <w:r/>
      <w:r/>
    </w:p>
    <w:p>
      <w:pPr>
        <w:pStyle w:val="788"/>
        <w:ind w:firstLine="480"/>
        <w:keepLines/>
        <w:keepNext/>
        <w:spacing w:beforeAutospacing="0" w:afterAutospacing="0" w:line="360" w:lineRule="auto"/>
        <w:rPr>
          <w:rFonts w:hint="eastAsia" w:ascii="宋体" w:hAnsi="宋体" w:eastAsia="宋体" w:cs="宋体"/>
        </w:rPr>
      </w:pPr>
      <w:r/>
      <w:bookmarkStart w:id="137" w:name="_Toc462564084"/>
      <w:r/>
      <w:bookmarkStart w:id="138" w:name="_Toc513029225"/>
      <w:r/>
      <w:bookmarkStart w:id="139" w:name="_Toc20823297"/>
      <w:r/>
      <w:bookmarkStart w:id="140" w:name="_Toc16938541"/>
      <w:r>
        <w:rPr>
          <w:rFonts w:hint="eastAsia" w:ascii="宋体" w:hAnsi="宋体" w:eastAsia="宋体" w:cs="宋体"/>
          <w:color w:val="000000"/>
        </w:rPr>
        <w:t xml:space="preserve">18、电子投标文件</w:t>
      </w:r>
      <w:bookmarkEnd w:id="137"/>
      <w:r/>
      <w:bookmarkEnd w:id="138"/>
      <w:r/>
      <w:bookmarkEnd w:id="139"/>
      <w:r/>
      <w:bookmarkEnd w:id="140"/>
      <w:r>
        <w:rPr>
          <w:rFonts w:hint="eastAsia" w:ascii="宋体" w:hAnsi="宋体" w:eastAsia="宋体" w:cs="宋体"/>
          <w:color w:val="000000"/>
        </w:rPr>
        <w:t xml:space="preserve">的递交</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18.1投标人应当按照《操作手册》规定，在投标截止时间前制作并上传电子投标文件。</w:t>
      </w:r>
      <w:bookmarkStart w:id="141" w:name="_Toc16938542"/>
      <w:r/>
      <w:bookmarkEnd w:id="141"/>
      <w:r/>
      <w:bookmarkStart w:id="142" w:name="_Toc20823298"/>
      <w:r/>
      <w:bookmarkEnd w:id="142"/>
      <w:r/>
      <w:bookmarkStart w:id="143" w:name="_Toc513029226"/>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19、投标截止日期</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19.2 采购代理机构可以按照规定，通过修改招标文件酌情延长投标截止日期，在此情况下，投标人的所有权利和义务以及投标人受制的截止日期均应以延长后新的截止日期为准。</w:t>
      </w:r>
      <w:r/>
    </w:p>
    <w:p>
      <w:pPr>
        <w:pStyle w:val="788"/>
        <w:ind w:firstLine="480"/>
        <w:keepLines/>
        <w:keepNext/>
        <w:spacing w:beforeAutospacing="0" w:afterAutospacing="0" w:line="360" w:lineRule="auto"/>
        <w:rPr>
          <w:rFonts w:hint="eastAsia" w:ascii="宋体" w:hAnsi="宋体" w:eastAsia="宋体" w:cs="宋体"/>
        </w:rPr>
      </w:pPr>
      <w:r/>
      <w:bookmarkStart w:id="144" w:name="_Toc513029227"/>
      <w:r/>
      <w:bookmarkStart w:id="145" w:name="_Toc16938543"/>
      <w:r/>
      <w:bookmarkStart w:id="146" w:name="_Toc20823299"/>
      <w:r>
        <w:rPr>
          <w:rFonts w:hint="eastAsia" w:ascii="宋体" w:hAnsi="宋体" w:eastAsia="宋体" w:cs="宋体"/>
          <w:color w:val="000000"/>
        </w:rPr>
        <w:t xml:space="preserve">20、投标文件</w:t>
      </w:r>
      <w:bookmarkEnd w:id="144"/>
      <w:r/>
      <w:bookmarkEnd w:id="145"/>
      <w:r/>
      <w:bookmarkEnd w:id="146"/>
      <w:r>
        <w:rPr>
          <w:rFonts w:hint="eastAsia" w:ascii="宋体" w:hAnsi="宋体" w:eastAsia="宋体" w:cs="宋体"/>
          <w:color w:val="000000"/>
        </w:rPr>
        <w:t xml:space="preserve">的拒收</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 采购代理机构拒绝接收在其规定的投标截止时间后上传的任何投标文件。</w:t>
      </w:r>
      <w:r/>
    </w:p>
    <w:p>
      <w:pPr>
        <w:pStyle w:val="788"/>
        <w:ind w:firstLine="480"/>
        <w:keepLines/>
        <w:keepNext/>
        <w:spacing w:beforeAutospacing="0" w:afterAutospacing="0" w:line="360" w:lineRule="auto"/>
        <w:rPr>
          <w:rFonts w:hint="eastAsia" w:ascii="宋体" w:hAnsi="宋体" w:eastAsia="宋体" w:cs="宋体"/>
        </w:rPr>
      </w:pPr>
      <w:r/>
      <w:bookmarkStart w:id="147" w:name="_Toc16938544"/>
      <w:r/>
      <w:bookmarkStart w:id="148" w:name="_Toc513029228"/>
      <w:r/>
      <w:bookmarkStart w:id="149" w:name="_Toc20823300"/>
      <w:r>
        <w:rPr>
          <w:rFonts w:hint="eastAsia" w:ascii="宋体" w:hAnsi="宋体" w:eastAsia="宋体" w:cs="宋体"/>
          <w:color w:val="000000"/>
        </w:rPr>
        <w:t xml:space="preserve">21、投标文件的撤回和修改</w:t>
      </w:r>
      <w:bookmarkEnd w:id="147"/>
      <w:r/>
      <w:bookmarkEnd w:id="148"/>
      <w:r/>
      <w:bookmarkEnd w:id="149"/>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 投标文件的撤回</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21.1.1 电子投标文件的撤回</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 投标文件的修改</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788"/>
        <w:ind w:firstLine="482"/>
        <w:keepLines/>
        <w:keepNext/>
        <w:spacing w:before="145" w:beforeAutospacing="0" w:after="145" w:afterAutospacing="0" w:line="360" w:lineRule="auto"/>
        <w:rPr>
          <w:rFonts w:hint="eastAsia" w:ascii="宋体" w:hAnsi="宋体" w:eastAsia="宋体" w:cs="宋体"/>
        </w:rPr>
      </w:pPr>
      <w:r/>
      <w:bookmarkStart w:id="150" w:name="_Toc20823301"/>
      <w:r/>
      <w:bookmarkStart w:id="151" w:name="_Toc513029229"/>
      <w:r/>
      <w:bookmarkStart w:id="152" w:name="_Toc120614218"/>
      <w:r/>
      <w:bookmarkStart w:id="153" w:name="_Toc16938545"/>
      <w:r>
        <w:rPr>
          <w:rFonts w:hint="eastAsia" w:ascii="宋体" w:hAnsi="宋体" w:eastAsia="宋体" w:cs="宋体"/>
          <w:b/>
          <w:color w:val="000000"/>
        </w:rPr>
        <w:t xml:space="preserve">五、开标与评标</w:t>
      </w:r>
      <w:bookmarkEnd w:id="150"/>
      <w:r/>
      <w:bookmarkEnd w:id="151"/>
      <w:r/>
      <w:bookmarkEnd w:id="152"/>
      <w:r/>
      <w:bookmarkEnd w:id="153"/>
      <w:r/>
      <w:r/>
    </w:p>
    <w:p>
      <w:pPr>
        <w:pStyle w:val="788"/>
        <w:ind w:firstLine="480"/>
        <w:keepLines/>
        <w:keepNext/>
        <w:spacing w:beforeAutospacing="0" w:afterAutospacing="0" w:line="360" w:lineRule="auto"/>
        <w:rPr>
          <w:rFonts w:hint="eastAsia" w:ascii="宋体" w:hAnsi="宋体" w:eastAsia="宋体" w:cs="宋体"/>
        </w:rPr>
      </w:pPr>
      <w:r/>
      <w:bookmarkStart w:id="154" w:name="_Toc16938546"/>
      <w:r/>
      <w:bookmarkStart w:id="155" w:name="_Toc20823302"/>
      <w:r/>
      <w:bookmarkStart w:id="156" w:name="_Toc513029230"/>
      <w:r>
        <w:rPr>
          <w:rFonts w:hint="eastAsia" w:ascii="宋体" w:hAnsi="宋体" w:eastAsia="宋体" w:cs="宋体"/>
          <w:color w:val="000000"/>
        </w:rPr>
        <w:t xml:space="preserve">22、开标</w:t>
      </w:r>
      <w:bookmarkEnd w:id="154"/>
      <w:r/>
      <w:bookmarkEnd w:id="155"/>
      <w:r/>
      <w:bookmarkEnd w:id="156"/>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22.1 采购代理机构将在招标公告中规定的时间和地点组织公开开标。投标人应当按照《操作手册》规定，参加开标活动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22.2开标仪式由</w:t>
      </w:r>
      <w:r>
        <w:rPr>
          <w:rFonts w:hint="eastAsia" w:ascii="宋体" w:hAnsi="宋体" w:eastAsia="宋体" w:cs="宋体"/>
          <w:color w:val="000000"/>
        </w:rPr>
        <w:t xml:space="preserve">采购代理机构</w:t>
      </w:r>
      <w:r>
        <w:rPr>
          <w:rFonts w:hint="eastAsia" w:ascii="宋体" w:hAnsi="宋体" w:eastAsia="宋体" w:cs="宋体"/>
        </w:rPr>
        <w:t xml:space="preserve">组织。苏采云系统将自动对项目进行开标，并宣布各投标人名称和投标价格。</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rPr>
        <w:t xml:space="preserve">，视同认可开标结果。</w:t>
      </w:r>
      <w:r/>
    </w:p>
    <w:p>
      <w:pPr>
        <w:pStyle w:val="788"/>
        <w:ind w:firstLine="480"/>
        <w:keepLines/>
        <w:keepNext/>
        <w:spacing w:beforeAutospacing="0" w:afterAutospacing="0" w:line="360" w:lineRule="auto"/>
        <w:rPr>
          <w:rFonts w:hint="eastAsia" w:ascii="宋体" w:hAnsi="宋体" w:eastAsia="宋体" w:cs="宋体"/>
        </w:rPr>
      </w:pPr>
      <w:r/>
      <w:bookmarkStart w:id="157" w:name="_Toc16938547"/>
      <w:r/>
      <w:bookmarkStart w:id="158" w:name="_Toc513029231"/>
      <w:r/>
      <w:bookmarkStart w:id="159" w:name="_Toc20823303"/>
      <w:r>
        <w:rPr>
          <w:rFonts w:hint="eastAsia" w:ascii="宋体" w:hAnsi="宋体" w:eastAsia="宋体" w:cs="宋体"/>
          <w:color w:val="000000"/>
        </w:rPr>
        <w:t xml:space="preserve">23、评标委员会</w:t>
      </w:r>
      <w:bookmarkEnd w:id="157"/>
      <w:r/>
      <w:bookmarkEnd w:id="158"/>
      <w:r/>
      <w:bookmarkEnd w:id="159"/>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23.1开标后，采购代理机构将立即组织评标委员会（以下简称评委会）进行评标。</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23.2 评委会由采购人代表和有关技术、经济等方面的专家组成，且人员构成符合政府采购有关规定。</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23.3评委会独立工作，负责评审所有投标文件并确定中标侯选人。</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24.评标过程的保密与公正</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24.1凡是与审查、澄清、评价和比较投标的有关资料以及授标建议等，采购人、评委、采购代理机构均不得向投标人或与评标无关的其他人员透露。</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24.3 采购代理机构和评标委员会不向未中标的投标人解释未中标原因，也不公布评标过程中的相关</w:t>
      </w:r>
      <w:r>
        <w:rPr>
          <w:rFonts w:hint="eastAsia" w:ascii="宋体" w:hAnsi="宋体" w:eastAsia="宋体" w:cs="宋体"/>
        </w:rPr>
        <w:t xml:space="preserve">细节。</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788"/>
        <w:ind w:firstLine="480"/>
        <w:keepLines/>
        <w:keepNext/>
        <w:spacing w:beforeAutospacing="0" w:afterAutospacing="0" w:line="360" w:lineRule="auto"/>
        <w:rPr>
          <w:rFonts w:hint="eastAsia" w:ascii="宋体" w:hAnsi="宋体" w:eastAsia="宋体" w:cs="宋体"/>
        </w:rPr>
      </w:pPr>
      <w:r/>
      <w:bookmarkStart w:id="160" w:name="_Toc513029232"/>
      <w:r/>
      <w:bookmarkStart w:id="161" w:name="_Toc16938548"/>
      <w:r/>
      <w:bookmarkStart w:id="162" w:name="_Toc20823304"/>
      <w:r>
        <w:rPr>
          <w:rFonts w:hint="eastAsia" w:ascii="宋体" w:hAnsi="宋体" w:eastAsia="宋体" w:cs="宋体"/>
          <w:color w:val="000000"/>
        </w:rPr>
        <w:t xml:space="preserve">25．投标文件的澄清</w:t>
      </w:r>
      <w:bookmarkEnd w:id="160"/>
      <w:r/>
      <w:bookmarkEnd w:id="161"/>
      <w:r/>
      <w:bookmarkEnd w:id="162"/>
      <w:r/>
      <w:r/>
    </w:p>
    <w:p>
      <w:pPr>
        <w:pStyle w:val="788"/>
        <w:ind w:firstLine="480"/>
        <w:spacing w:beforeAutospacing="0" w:afterAutospacing="0" w:line="360" w:lineRule="auto"/>
        <w:rPr>
          <w:rFonts w:hint="eastAsia" w:ascii="宋体" w:hAnsi="宋体" w:eastAsia="宋体" w:cs="宋体"/>
        </w:rPr>
      </w:pPr>
      <w:r/>
      <w:bookmarkStart w:id="163" w:name="_Toc20823305"/>
      <w:r/>
      <w:bookmarkStart w:id="164" w:name="_Toc16938549"/>
      <w:r/>
      <w:bookmarkStart w:id="165" w:name="_Toc513029233"/>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63"/>
      <w:r/>
      <w:bookmarkEnd w:id="164"/>
      <w:r/>
      <w:bookmarkEnd w:id="165"/>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评标委员会并非对每个投标人都做澄清要求。</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25.3 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26、对投标文件的初审</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26.1投标文件初审分为资格审查和符合性审查。</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788"/>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26.1.3 未通过资格审查或符合性审查的投标人，采购代理机构将</w:t>
      </w:r>
      <w:r>
        <w:rPr>
          <w:rFonts w:hint="eastAsia" w:ascii="宋体" w:hAnsi="宋体" w:eastAsia="宋体" w:cs="宋体"/>
        </w:rPr>
        <w:t xml:space="preserve">在苏采云系统中告知未通过资格审查或符合性审查的原因，评审结束后，</w:t>
      </w:r>
      <w:r>
        <w:rPr>
          <w:rFonts w:hint="eastAsia" w:ascii="宋体" w:hAnsi="宋体" w:eastAsia="宋体" w:cs="宋体"/>
          <w:color w:val="000000"/>
        </w:rPr>
        <w:t xml:space="preserve">采购代理机构</w:t>
      </w:r>
      <w:r>
        <w:rPr>
          <w:rFonts w:hint="eastAsia" w:ascii="宋体" w:hAnsi="宋体" w:eastAsia="宋体" w:cs="宋体"/>
        </w:rPr>
        <w:t xml:space="preserve">将不再告知未通过资格审查或符合性审查的原因。</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88"/>
        <w:ind w:firstLine="480"/>
        <w:spacing w:beforeAutospacing="0" w:afterAutospacing="0" w:line="360" w:lineRule="auto"/>
        <w:rPr>
          <w:rFonts w:hint="eastAsia" w:ascii="宋体" w:hAnsi="宋体" w:eastAsia="宋体" w:cs="宋体"/>
        </w:rPr>
      </w:pPr>
      <w:r/>
      <w:bookmarkStart w:id="166" w:name="_Toc20823306"/>
      <w:r/>
      <w:bookmarkStart w:id="167" w:name="_Toc513029234"/>
      <w:r/>
      <w:bookmarkStart w:id="168" w:name="_Toc16938550"/>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66"/>
      <w:r/>
      <w:bookmarkEnd w:id="167"/>
      <w:r/>
      <w:bookmarkEnd w:id="168"/>
      <w:r/>
      <w:r/>
    </w:p>
    <w:p>
      <w:pPr>
        <w:pStyle w:val="788"/>
        <w:ind w:firstLine="480"/>
        <w:spacing w:beforeAutospacing="0" w:afterAutospacing="0" w:line="360" w:lineRule="auto"/>
        <w:rPr>
          <w:rFonts w:hint="eastAsia" w:ascii="宋体" w:hAnsi="宋体" w:eastAsia="宋体" w:cs="宋体"/>
        </w:rPr>
      </w:pPr>
      <w:r/>
      <w:bookmarkStart w:id="169" w:name="OLE_LINK2"/>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bookmarkEnd w:id="169"/>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26.7投标人在开、评标全过程中应保持通讯畅通，及时登录苏采云系统查阅、答复相关信息，并安排专人与</w:t>
      </w:r>
      <w:r>
        <w:rPr>
          <w:rFonts w:hint="eastAsia" w:ascii="宋体" w:hAnsi="宋体" w:eastAsia="宋体" w:cs="宋体"/>
          <w:color w:val="000000"/>
        </w:rPr>
        <w:t xml:space="preserve">采购代理机构</w:t>
      </w:r>
      <w:r>
        <w:rPr>
          <w:rFonts w:hint="eastAsia" w:ascii="宋体" w:hAnsi="宋体" w:eastAsia="宋体" w:cs="宋体"/>
        </w:rPr>
        <w:t xml:space="preserve">及评标委员会联系。</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27、无效投标条款和废标条款</w:t>
      </w:r>
      <w:r/>
    </w:p>
    <w:p>
      <w:pPr>
        <w:pStyle w:val="788"/>
        <w:ind w:firstLine="480"/>
        <w:spacing w:beforeAutospacing="0" w:afterAutospacing="0" w:line="360" w:lineRule="auto"/>
        <w:rPr>
          <w:rFonts w:hint="eastAsia" w:ascii="宋体" w:hAnsi="宋体" w:eastAsia="宋体" w:cs="宋体"/>
        </w:rPr>
      </w:pPr>
      <w:r/>
      <w:bookmarkStart w:id="170" w:name="_Toc20823307"/>
      <w:r/>
      <w:bookmarkStart w:id="171" w:name="_Toc16938551"/>
      <w:r/>
      <w:bookmarkStart w:id="172" w:name="_Toc513029235"/>
      <w:r>
        <w:rPr>
          <w:rFonts w:hint="eastAsia" w:ascii="宋体" w:hAnsi="宋体" w:eastAsia="宋体" w:cs="宋体"/>
        </w:rPr>
        <w:t xml:space="preserve">27.1无效投标条款</w:t>
      </w:r>
      <w:bookmarkEnd w:id="170"/>
      <w:r/>
      <w:bookmarkEnd w:id="171"/>
      <w:r/>
      <w:bookmarkEnd w:id="172"/>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27.1.3同一投标人提交两个（含两个）以上不同的投标报价的。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27.1.4投标人不具备招标文件中规定资格要求的。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27.1.6未通过符合性审查的。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color w:val="000000"/>
        </w:rPr>
        <w:t xml:space="preserve">27.1.10评标委员会认为投标人的报价明显低</w:t>
      </w:r>
      <w:r>
        <w:rPr>
          <w:rFonts w:hint="eastAsia" w:ascii="宋体" w:hAnsi="宋体" w:eastAsia="宋体" w:cs="宋体"/>
          <w:b/>
          <w:bCs/>
        </w:rPr>
        <w:t xml:space="preserve">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（一）评审过程中出现下列情形之一的，评标委员会应当启动异常低价投标审查程序：</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1.投标（响应）报价低于全部通过符合性审查供应商投标（响应）报价平均值50%的，即投标（响应）报价&lt;全部通过符合性审查供应商投标（响应）报价平均值×50%；</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2.投标（响应）报价低于通过符合性审查的次低报价供应商投标（响应）报价50%的，即投标（响应）报价&lt;通过符合性审查的次低报价供应商投标（响应）报价×50%；</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3.投标（响应）报价低于采购项目最高限价45%的，即投标（响应）报价&lt;采购项目最高限价×45%；</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4.评审委员会基于专业判断，认为供应商报价过低，有可能影响产品质量或者不能诚信履约的其他情形。</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88"/>
        <w:ind w:firstLine="482"/>
        <w:jc w:val="both"/>
        <w:spacing w:beforeAutospacing="0" w:afterAutospacing="0" w:line="0" w:lineRule="atLeast"/>
        <w:rPr>
          <w:rFonts w:hint="eastAsia" w:ascii="宋体" w:hAnsi="宋体" w:eastAsia="宋体" w:cs="宋体"/>
          <w:b/>
          <w:bCs/>
        </w:rPr>
      </w:pPr>
      <w:r>
        <w:rPr>
          <w:rFonts w:hint="eastAsia" w:ascii="宋体" w:hAnsi="宋体" w:eastAsia="宋体" w:cs="宋体"/>
          <w:b/>
          <w:bC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88"/>
        <w:ind w:firstLine="482"/>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27.2废标条款</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27.2.3因重大变故，采购任务取消的。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27.2.5 因苏采云系统系统故障原因造成开标不成功的。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w:t>
      </w:r>
      <w:r>
        <w:rPr>
          <w:rFonts w:hint="eastAsia" w:ascii="宋体" w:hAnsi="宋体" w:eastAsia="宋体" w:cs="宋体"/>
          <w:color w:val="000000"/>
        </w:rPr>
        <w:t xml:space="preserve">三家情况，按政府采购相关规定执行。</w:t>
      </w:r>
      <w:r/>
    </w:p>
    <w:p>
      <w:pPr>
        <w:pStyle w:val="788"/>
        <w:ind w:firstLine="482"/>
        <w:keepLines/>
        <w:keepNext/>
        <w:spacing w:before="145" w:beforeAutospacing="0" w:after="145" w:afterAutospacing="0" w:line="360" w:lineRule="auto"/>
        <w:rPr>
          <w:rFonts w:hint="eastAsia" w:ascii="宋体" w:hAnsi="宋体" w:eastAsia="宋体" w:cs="宋体"/>
        </w:rPr>
      </w:pPr>
      <w:r/>
      <w:bookmarkStart w:id="173" w:name="_Toc120614219"/>
      <w:r>
        <w:rPr>
          <w:rFonts w:hint="eastAsia" w:ascii="宋体" w:hAnsi="宋体" w:eastAsia="宋体" w:cs="宋体"/>
          <w:b/>
          <w:color w:val="000000"/>
        </w:rPr>
        <w:t xml:space="preserve">六、定标</w:t>
      </w:r>
      <w:bookmarkEnd w:id="173"/>
      <w:r/>
      <w:r/>
    </w:p>
    <w:p>
      <w:pPr>
        <w:pStyle w:val="788"/>
        <w:ind w:firstLine="480"/>
        <w:keepLines/>
        <w:keepNext/>
        <w:spacing w:beforeAutospacing="0" w:afterAutospacing="0" w:line="360" w:lineRule="auto"/>
        <w:rPr>
          <w:rFonts w:hint="eastAsia" w:ascii="宋体" w:hAnsi="宋体" w:eastAsia="宋体" w:cs="宋体"/>
        </w:rPr>
      </w:pPr>
      <w:r/>
      <w:bookmarkStart w:id="174" w:name="_Toc20823310"/>
      <w:r/>
      <w:bookmarkStart w:id="175" w:name="_Toc16938554"/>
      <w:r/>
      <w:bookmarkStart w:id="176" w:name="_Toc513029238"/>
      <w:r>
        <w:rPr>
          <w:rFonts w:hint="eastAsia" w:ascii="宋体" w:hAnsi="宋体" w:eastAsia="宋体" w:cs="宋体"/>
          <w:color w:val="000000"/>
        </w:rPr>
        <w:t xml:space="preserve">28、</w:t>
      </w:r>
      <w:bookmarkEnd w:id="174"/>
      <w:r>
        <w:rPr>
          <w:rFonts w:hint="eastAsia" w:ascii="宋体" w:hAnsi="宋体" w:eastAsia="宋体" w:cs="宋体"/>
          <w:color w:val="000000"/>
        </w:rPr>
        <w:t xml:space="preserve">确定</w:t>
      </w:r>
      <w:bookmarkEnd w:id="175"/>
      <w:r/>
      <w:bookmarkEnd w:id="176"/>
      <w:r>
        <w:rPr>
          <w:rFonts w:hint="eastAsia" w:ascii="宋体" w:hAnsi="宋体" w:eastAsia="宋体" w:cs="宋体"/>
          <w:color w:val="000000"/>
        </w:rPr>
        <w:t xml:space="preserve">中标单位</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 采购代理机构将在“中国政府采购网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28.4.1提供虚假材料谋取中标的。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28.4.2向采购人、采购代理机构行贿或者提供其他不正当利益的。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28.4.4与采购人或者其他供应商恶意串通的。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28.4.5采取不正当手段诋毁、排挤其他供应商的。</w:t>
      </w:r>
      <w:r/>
    </w:p>
    <w:p>
      <w:pPr>
        <w:pStyle w:val="788"/>
        <w:ind w:firstLine="480"/>
        <w:spacing w:beforeAutospacing="0" w:afterAutospacing="0" w:line="360" w:lineRule="auto"/>
        <w:rPr>
          <w:rFonts w:hint="eastAsia" w:ascii="宋体" w:hAnsi="宋体" w:eastAsia="宋体" w:cs="宋体"/>
        </w:rPr>
      </w:pPr>
      <w:r/>
      <w:bookmarkStart w:id="177" w:name="_Toc200451960"/>
      <w:r>
        <w:rPr>
          <w:rFonts w:hint="eastAsia" w:ascii="宋体" w:hAnsi="宋体" w:eastAsia="宋体" w:cs="宋体"/>
          <w:color w:val="000000"/>
        </w:rPr>
        <w:t xml:space="preserve">28.5.有下列情形之一的，视为投标人串通投标，投标无效：</w:t>
      </w:r>
      <w:bookmarkEnd w:id="177"/>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29、质疑处理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r>
      <w:r>
        <w:rPr>
          <w:rFonts w:hint="eastAsia" w:ascii="宋体" w:hAnsi="宋体" w:eastAsia="宋体" w:cs="宋体"/>
          <w:color w:val="000000"/>
        </w:rPr>
        <w:t xml:space="preserve">29.2.2对采购过程提出质疑的，为各采购程序环节结束之日；</w:t>
      </w:r>
      <w:r>
        <w:rPr>
          <w:rFonts w:hint="eastAsia" w:ascii="宋体" w:hAnsi="宋体" w:eastAsia="宋体" w:cs="宋体"/>
          <w:color w:val="000000"/>
        </w:rPr>
        <w:br/>
      </w:r>
      <w:r>
        <w:rPr>
          <w:rFonts w:hint="eastAsia" w:ascii="宋体" w:hAnsi="宋体" w:eastAsia="宋体" w:cs="宋体"/>
          <w:color w:val="000000"/>
        </w:rPr>
        <w:t xml:space="preserve">29.2.3对中标或者成交结果提出质疑的，为中标或者成交结果公告期限届满之日。</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提出，由</w:t>
      </w:r>
      <w:r>
        <w:rPr>
          <w:rFonts w:hint="eastAsia" w:ascii="宋体" w:hAnsi="宋体" w:eastAsia="宋体"/>
          <w:shd w:val="clear" w:color="auto" w:fill="ffffff" w:themeFill="background1"/>
        </w:rPr>
        <w:t xml:space="preserve">采购代理机构</w:t>
      </w:r>
      <w:r>
        <w:rPr>
          <w:rFonts w:hint="eastAsia" w:ascii="宋体" w:hAnsi="宋体" w:eastAsia="宋体" w:cs="宋体"/>
        </w:rPr>
        <w:t xml:space="preserve">负责答复。</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shd w:val="clear" w:color="auto" w:fill="ffffff" w:themeFill="background1"/>
        </w:rPr>
        <w:t xml:space="preserve">采购代理机构及采购人只接收以纸质原件形式送达的质疑,采购人和采购代理机构不接受未填写快递运单的快件。采购代理机构质疑接收地址：响水县城幸福南路107号，收件人：蒋工 联系电话：</w:t>
      </w:r>
      <w:r>
        <w:rPr>
          <w:rFonts w:hint="eastAsia" w:ascii="宋体" w:hAnsi="宋体" w:eastAsia="宋体"/>
        </w:rPr>
        <w:t xml:space="preserve">19551288069</w:t>
      </w:r>
      <w:r>
        <w:rPr>
          <w:rFonts w:hint="eastAsia" w:ascii="宋体" w:hAnsi="宋体" w:eastAsia="宋体" w:cs="宋体"/>
        </w:rPr>
        <w:t xml:space="preserve">。</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30、中标通知书</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30.l中标结果确定后，采购代理机构将向中标人发出中标通知书。请中标人在中标结果公告届满之日起30日内,使用CA数字证书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88"/>
        <w:ind w:firstLine="482"/>
        <w:keepLines/>
        <w:keepNext/>
        <w:spacing w:before="145" w:beforeAutospacing="0" w:after="145" w:afterAutospacing="0" w:line="360" w:lineRule="auto"/>
        <w:rPr>
          <w:rFonts w:hint="eastAsia" w:ascii="宋体" w:hAnsi="宋体" w:eastAsia="宋体" w:cs="宋体"/>
        </w:rPr>
      </w:pPr>
      <w:r/>
      <w:bookmarkStart w:id="178" w:name="_Toc20823308"/>
      <w:r/>
      <w:bookmarkStart w:id="179" w:name="_Toc16938552"/>
      <w:r/>
      <w:bookmarkStart w:id="180" w:name="_Toc513029236"/>
      <w:r/>
      <w:bookmarkStart w:id="181" w:name="_Toc120614220"/>
      <w:r>
        <w:rPr>
          <w:rFonts w:hint="eastAsia" w:ascii="宋体" w:hAnsi="宋体" w:eastAsia="宋体" w:cs="宋体"/>
          <w:b/>
          <w:color w:val="000000"/>
        </w:rPr>
        <w:t xml:space="preserve">七、授予合同</w:t>
      </w:r>
      <w:bookmarkEnd w:id="178"/>
      <w:r/>
      <w:bookmarkEnd w:id="179"/>
      <w:r/>
      <w:bookmarkEnd w:id="180"/>
      <w:r/>
      <w:bookmarkEnd w:id="181"/>
      <w:r/>
      <w:r/>
    </w:p>
    <w:p>
      <w:pPr>
        <w:pStyle w:val="788"/>
        <w:ind w:firstLine="480"/>
        <w:keepLines/>
        <w:keepNext/>
        <w:spacing w:beforeAutospacing="0" w:afterAutospacing="0" w:line="360" w:lineRule="auto"/>
        <w:rPr>
          <w:rFonts w:hint="eastAsia" w:ascii="宋体" w:hAnsi="宋体" w:eastAsia="宋体" w:cs="宋体"/>
        </w:rPr>
      </w:pPr>
      <w:r/>
      <w:bookmarkStart w:id="182" w:name="_Toc20823309"/>
      <w:r/>
      <w:bookmarkStart w:id="183" w:name="_Toc513029237"/>
      <w:r/>
      <w:bookmarkStart w:id="184" w:name="_Toc16938553"/>
      <w:r>
        <w:rPr>
          <w:rFonts w:hint="eastAsia" w:ascii="宋体" w:hAnsi="宋体" w:eastAsia="宋体" w:cs="宋体"/>
          <w:color w:val="000000"/>
        </w:rPr>
        <w:t xml:space="preserve">31. 签订合同</w:t>
      </w:r>
      <w:bookmarkEnd w:id="182"/>
      <w:r/>
      <w:bookmarkEnd w:id="183"/>
      <w:r/>
      <w:bookmarkEnd w:id="184"/>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32、货物（包含与货物相关的服务）的追加</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33.政府采购政策功能落实</w:t>
      </w:r>
      <w:r/>
    </w:p>
    <w:p>
      <w:pPr>
        <w:pStyle w:val="788"/>
        <w:ind w:firstLine="480"/>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33.1政府采购线上合同信用融资政策</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根据《转发江苏省财政厅</w:t>
      </w:r>
      <w:r>
        <w:rPr>
          <w:rFonts w:ascii="宋体" w:hAnsi="宋体" w:eastAsia="宋体" w:cs="宋体"/>
        </w:rPr>
        <w:t xml:space="preserve"> </w:t>
      </w:r>
      <w:r>
        <w:rPr>
          <w:rFonts w:hint="eastAsia" w:ascii="宋体" w:hAnsi="宋体" w:eastAsia="宋体" w:cs="宋体"/>
        </w:rPr>
        <w:t xml:space="preserve">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33.3.1中小企业定义：</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33.3.6.6前款所称残疾人是指法定劳动年龄内，持有</w:t>
      </w:r>
      <w:bookmarkStart w:id="185" w:name="OLE_LINK45"/>
      <w:r>
        <w:rPr>
          <w:rFonts w:hint="eastAsia" w:ascii="宋体" w:hAnsi="宋体" w:eastAsia="宋体" w:cs="宋体"/>
        </w:rPr>
        <w:t xml:space="preserve">《中华人民共和国残疾人证》或者《中华人民共和国残疾军人证》（1 至8 级）的自然人</w:t>
      </w:r>
      <w:bookmarkEnd w:id="185"/>
      <w:r>
        <w:rPr>
          <w:rFonts w:hint="eastAsia" w:ascii="宋体" w:hAnsi="宋体" w:eastAsia="宋体" w:cs="宋体"/>
        </w:rPr>
        <w:t xml:space="preserve">，包括具有劳动条件和劳动意愿的精神残疾人。在职职工人数是指与残疾人福利性单位建立劳动关系并依法签订劳动合同或服务协议的雇员人数。</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788"/>
        <w:ind w:firstLine="480"/>
        <w:spacing w:beforeAutospacing="0" w:afterAutospacing="0" w:line="360" w:lineRule="auto"/>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80"/>
        <w:jc w:val="lef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33.8实施本国产品标准及相关政策</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1.本项目对采购本国产品给予政策支持，具体内容见招标文件“第五章 评标方法与评标标准”。</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33.9履约保证金政策</w:t>
      </w:r>
      <w:r/>
    </w:p>
    <w:p>
      <w:pPr>
        <w:pStyle w:val="951"/>
        <w:ind w:left="0" w:firstLine="480"/>
        <w:jc w:val="left"/>
        <w:spacing w:after="0" w:line="360" w:lineRule="auto"/>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ind w:firstLine="480"/>
        <w:jc w:val="left"/>
        <w:spacing w:line="360" w:lineRule="auto"/>
        <w:tabs>
          <w:tab w:val="left" w:pos="1381" w:leader="none"/>
        </w:tabs>
        <w:rPr>
          <w:rFonts w:hint="eastAsia" w:ascii="宋体" w:hAnsi="宋体" w:eastAsia="宋体" w:cs="宋体"/>
          <w:sz w:val="24"/>
        </w:rPr>
      </w:pPr>
      <w:r>
        <w:rPr>
          <w:rFonts w:hint="eastAsia" w:ascii="宋体" w:hAnsi="宋体" w:eastAsia="宋体" w:cs="宋体"/>
          <w:sz w:val="24"/>
        </w:rPr>
        <w:t xml:space="preserve">34.预付款制度</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shd w:val="nil"/>
        <w:rPr>
          <w:rFonts w:hint="eastAsia" w:ascii="宋体" w:hAnsi="宋体" w:eastAsia="宋体" w:cs="宋体"/>
          <w:b/>
          <w:bCs/>
          <w:sz w:val="48"/>
          <w:szCs w:val="48"/>
        </w:rPr>
      </w:pPr>
      <w:r>
        <w:rPr>
          <w:rFonts w:hint="eastAsia" w:ascii="宋体" w:hAnsi="宋体" w:eastAsia="宋体" w:cs="宋体"/>
          <w:b/>
          <w:sz w:val="48"/>
          <w:szCs w:val="44"/>
          <w:highlight w:val="none"/>
        </w:rPr>
        <w:br w:type="page" w:clear="all"/>
      </w:r>
      <w:r>
        <w:rPr>
          <w:rFonts w:hint="eastAsia" w:ascii="宋体" w:hAnsi="宋体" w:eastAsia="宋体" w:cs="宋体"/>
          <w:b/>
          <w:sz w:val="48"/>
          <w:szCs w:val="44"/>
          <w:highlight w:val="none"/>
        </w:rPr>
      </w:r>
    </w:p>
    <w:p>
      <w:pPr>
        <w:ind w:firstLine="2409"/>
        <w:jc w:val="left"/>
        <w:spacing w:line="360" w:lineRule="auto"/>
        <w:widowControl/>
        <w:rPr>
          <w:rFonts w:hint="eastAsia" w:ascii="宋体" w:hAnsi="宋体" w:eastAsia="宋体" w:cs="宋体"/>
          <w:b/>
          <w:bCs/>
          <w:sz w:val="48"/>
          <w:szCs w:val="48"/>
          <w:highlight w:val="none"/>
        </w:rPr>
      </w:pPr>
      <w:r/>
      <w:bookmarkStart w:id="186" w:name="_Toc479757211"/>
      <w:r/>
      <w:bookmarkStart w:id="187" w:name="_Toc462564139"/>
      <w:r/>
      <w:bookmarkStart w:id="188" w:name="_Toc20823346"/>
      <w:r/>
      <w:bookmarkStart w:id="189" w:name="_Hlt16619350"/>
      <w:r/>
      <w:bookmarkStart w:id="190" w:name="_Toc16938590"/>
      <w:r/>
      <w:bookmarkStart w:id="191" w:name="_Toc120614244"/>
      <w:r/>
      <w:bookmarkStart w:id="192" w:name="_Hlt16619369"/>
      <w:r>
        <w:rPr>
          <w:rFonts w:hint="eastAsia" w:ascii="宋体" w:hAnsi="宋体" w:eastAsia="宋体" w:cs="宋体"/>
          <w:b/>
          <w:sz w:val="48"/>
          <w:szCs w:val="44"/>
        </w:rPr>
        <w:t xml:space="preserve">第三章  合同条款</w:t>
      </w:r>
      <w:r/>
    </w:p>
    <w:p>
      <w:pPr>
        <w:rPr>
          <w:rFonts w:hint="eastAsia" w:ascii="宋体" w:hAnsi="宋体" w:cs="宋体"/>
        </w:rPr>
      </w:pPr>
      <w:r/>
      <w:bookmarkStart w:id="193" w:name="EB6d2006462e294de090c16e672cecc3bd"/>
      <w:r/>
      <w:bookmarkEnd w:id="193"/>
      <w:r/>
      <w:r/>
    </w:p>
    <w:p>
      <w:pPr>
        <w:jc w:val="center"/>
        <w:rPr>
          <w:rFonts w:hint="eastAsia" w:ascii="宋体" w:hAnsi="宋体" w:cs="宋体"/>
          <w:b/>
          <w:bCs/>
          <w:spacing w:val="-20"/>
          <w:sz w:val="48"/>
          <w:szCs w:val="48"/>
        </w:rPr>
      </w:pPr>
      <w:r/>
      <w:bookmarkStart w:id="194" w:name="_Toc3995"/>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rPr>
          <w:rFonts w:hint="eastAsia" w:ascii="宋体" w:hAnsi="宋体" w:cs="宋体"/>
          <w:sz w:val="30"/>
        </w:rPr>
      </w:pPr>
      <w:r>
        <w:rPr>
          <w:rFonts w:hint="eastAsia" w:ascii="宋体" w:hAnsi="宋体" w:cs="宋体"/>
          <w:sz w:val="30"/>
        </w:rPr>
      </w:r>
      <w:r/>
    </w:p>
    <w:p>
      <w:pPr>
        <w:jc w:val="center"/>
        <w:rPr>
          <w:rFonts w:hint="eastAsia" w:ascii="宋体" w:hAnsi="宋体" w:cs="宋体"/>
          <w:sz w:val="30"/>
        </w:rPr>
      </w:pPr>
      <w:r>
        <w:rPr>
          <w:rFonts w:hint="eastAsia" w:ascii="宋体" w:hAnsi="宋体" w:cs="宋体"/>
          <w:sz w:val="30"/>
        </w:rPr>
        <w:t xml:space="preserve">政府采购货物买卖合同</w:t>
      </w:r>
      <w:r/>
    </w:p>
    <w:p>
      <w:pPr>
        <w:jc w:val="cente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rPr>
          <w:rFonts w:hint="eastAsia" w:ascii="宋体" w:hAnsi="宋体" w:cs="宋体"/>
          <w:sz w:val="30"/>
        </w:rPr>
      </w:pPr>
      <w:r>
        <w:rPr>
          <w:rFonts w:hint="eastAsia" w:ascii="宋体" w:hAnsi="宋体" w:cs="宋体"/>
          <w:sz w:val="30"/>
        </w:rPr>
      </w:r>
      <w:r/>
    </w:p>
    <w:p>
      <w:pPr>
        <w:ind w:left="420"/>
        <w:spacing w:line="360" w:lineRule="auto"/>
        <w:rPr>
          <w:rFonts w:hint="eastAsia" w:ascii="宋体" w:hAnsi="宋体" w:cs="宋体"/>
          <w:sz w:val="30"/>
        </w:rPr>
      </w:pPr>
      <w:r>
        <w:rPr>
          <w:rFonts w:hint="eastAsia" w:ascii="宋体" w:hAnsi="宋体" w:cs="宋体"/>
          <w:sz w:val="30"/>
        </w:rPr>
        <w:t xml:space="preserve">项目名称：</w:t>
      </w:r>
      <w:r/>
    </w:p>
    <w:p>
      <w:pPr>
        <w:ind w:left="420"/>
        <w:spacing w:line="360" w:lineRule="auto"/>
        <w:rPr>
          <w:rFonts w:hint="eastAsia" w:ascii="宋体" w:hAnsi="宋体" w:cs="宋体"/>
          <w:sz w:val="30"/>
        </w:rPr>
      </w:pPr>
      <w:r>
        <w:rPr>
          <w:rFonts w:hint="eastAsia" w:ascii="宋体" w:hAnsi="宋体" w:cs="宋体"/>
          <w:sz w:val="30"/>
        </w:rPr>
        <w:t xml:space="preserve">合同编号：</w:t>
      </w:r>
      <w:r/>
    </w:p>
    <w:p>
      <w:pPr>
        <w:ind w:left="420"/>
        <w:spacing w:line="360" w:lineRule="auto"/>
        <w:rPr>
          <w:rFonts w:hint="eastAsia" w:ascii="宋体" w:hAnsi="宋体" w:cs="宋体"/>
          <w:sz w:val="30"/>
        </w:rPr>
      </w:pPr>
      <w:r>
        <w:rPr>
          <w:rFonts w:hint="eastAsia" w:ascii="宋体" w:hAnsi="宋体" w:cs="宋体"/>
          <w:sz w:val="30"/>
        </w:rPr>
        <w:t xml:space="preserve">甲    方：</w:t>
      </w:r>
      <w:r/>
    </w:p>
    <w:p>
      <w:pPr>
        <w:ind w:left="420"/>
        <w:spacing w:line="360" w:lineRule="auto"/>
        <w:rPr>
          <w:rFonts w:hint="eastAsia" w:ascii="宋体" w:hAnsi="宋体" w:cs="宋体"/>
          <w:sz w:val="30"/>
        </w:rPr>
      </w:pPr>
      <w:r>
        <w:rPr>
          <w:rFonts w:hint="eastAsia" w:ascii="宋体" w:hAnsi="宋体" w:cs="宋体"/>
          <w:sz w:val="30"/>
        </w:rPr>
        <w:t xml:space="preserve">乙    方：</w:t>
      </w:r>
      <w:r/>
    </w:p>
    <w:p>
      <w:pPr>
        <w:ind w:left="420"/>
        <w:spacing w:line="360" w:lineRule="auto"/>
        <w:rPr>
          <w:rFonts w:hint="eastAsia"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eastAsia="黑体"/>
          <w:sz w:val="44"/>
          <w:szCs w:val="44"/>
        </w:rPr>
      </w:r>
      <w:bookmarkEnd w:id="194"/>
      <w:r/>
      <w:r/>
    </w:p>
    <w:p>
      <w:pPr>
        <w:jc w:val="center"/>
        <w:keepLines/>
        <w:keepNext/>
        <w:spacing w:line="400" w:lineRule="exact"/>
        <w:rPr>
          <w:rFonts w:hint="eastAsia"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jc w:val="center"/>
        <w:keepLines/>
        <w:keepNext/>
        <w:spacing w:line="360" w:lineRule="auto"/>
        <w:rPr>
          <w:rFonts w:hint="eastAsia" w:ascii="黑体" w:hAnsi="华文中宋" w:eastAsia="黑体"/>
          <w:sz w:val="28"/>
          <w:szCs w:val="28"/>
        </w:rPr>
        <w:outlineLvl w:val="1"/>
      </w:pPr>
      <w:r>
        <w:rPr>
          <w:rFonts w:hint="eastAsia" w:ascii="黑体" w:hAnsi="华文中宋" w:eastAsia="黑体"/>
          <w:sz w:val="28"/>
          <w:szCs w:val="28"/>
        </w:rPr>
      </w:r>
      <w:r/>
    </w:p>
    <w:p>
      <w:pPr>
        <w:spacing w:line="360" w:lineRule="auto"/>
        <w:rPr>
          <w:rFonts w:hint="eastAsia" w:ascii="宋体" w:hAnsi="宋体"/>
          <w:sz w:val="24"/>
        </w:rPr>
      </w:pPr>
      <w:r>
        <w:rPr>
          <w:rFonts w:hint="eastAsia" w:ascii="宋体" w:hAnsi="宋体"/>
          <w:sz w:val="24"/>
        </w:rPr>
        <w:t xml:space="preserve">甲方（全称）：</w:t>
      </w:r>
      <w:r/>
    </w:p>
    <w:p>
      <w:pPr>
        <w:spacing w:line="360" w:lineRule="auto"/>
        <w:rPr>
          <w:rFonts w:hint="eastAsia"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hint="eastAsia" w:ascii="宋体" w:hAnsi="宋体"/>
          <w:sz w:val="24"/>
          <w:u w:val="single"/>
        </w:rPr>
      </w:pPr>
      <w:r>
        <w:rPr>
          <w:rFonts w:hint="eastAsia" w:ascii="宋体" w:hAnsi="宋体"/>
          <w:sz w:val="24"/>
        </w:rPr>
        <w:t xml:space="preserve">采购项目名称：</w:t>
      </w:r>
      <w:r/>
    </w:p>
    <w:p>
      <w:pPr>
        <w:numPr>
          <w:ilvl w:val="255"/>
          <w:numId w:val="0"/>
        </w:numPr>
        <w:spacing w:line="360" w:lineRule="auto"/>
        <w:tabs>
          <w:tab w:val="left" w:pos="999" w:leader="none"/>
        </w:tabs>
        <w:rPr>
          <w:rFonts w:hint="eastAsia" w:ascii="宋体" w:hAnsi="宋体"/>
          <w:sz w:val="24"/>
        </w:rPr>
      </w:pPr>
      <w:r>
        <w:rPr>
          <w:rFonts w:hint="eastAsia" w:ascii="宋体" w:hAnsi="宋体"/>
          <w:sz w:val="24"/>
        </w:rPr>
        <w:t xml:space="preserve">         采购项目编号：</w:t>
      </w:r>
      <w:r/>
    </w:p>
    <w:p>
      <w:pPr>
        <w:ind w:firstLine="480"/>
        <w:spacing w:line="360" w:lineRule="auto"/>
        <w:rPr>
          <w:rFonts w:hint="eastAsia" w:ascii="宋体" w:hAnsi="宋体"/>
          <w:sz w:val="24"/>
        </w:rPr>
      </w:pPr>
      <w:r>
        <w:rPr>
          <w:rFonts w:hint="eastAsia" w:ascii="宋体" w:hAnsi="宋体"/>
          <w:sz w:val="24"/>
        </w:rPr>
        <w:t xml:space="preserve">（2）采购计划编号：</w:t>
      </w:r>
      <w:r/>
    </w:p>
    <w:p>
      <w:pPr>
        <w:ind w:firstLine="480"/>
        <w:spacing w:line="360" w:lineRule="auto"/>
        <w:rPr>
          <w:rFonts w:hint="eastAsia" w:ascii="宋体" w:hAnsi="宋体"/>
          <w:sz w:val="24"/>
        </w:rPr>
      </w:pPr>
      <w:r>
        <w:rPr>
          <w:rFonts w:hint="eastAsia" w:ascii="宋体" w:hAnsi="宋体"/>
          <w:sz w:val="24"/>
        </w:rPr>
        <w:t xml:space="preserve">（3）项目内容：</w:t>
      </w:r>
      <w:r/>
    </w:p>
    <w:p>
      <w:pPr>
        <w:ind w:firstLine="480"/>
        <w:spacing w:line="360" w:lineRule="auto"/>
        <w:rPr>
          <w:rFonts w:hint="eastAsia" w:ascii="宋体" w:hAnsi="宋体"/>
          <w:sz w:val="24"/>
        </w:rPr>
      </w:pPr>
      <w:r>
        <w:rPr>
          <w:rFonts w:hint="eastAsia" w:ascii="宋体" w:hAnsi="宋体"/>
          <w:sz w:val="24"/>
        </w:rPr>
        <w:t xml:space="preserve">采购服务涉及的货物名称及数量（台/套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品牌：规格型号：</w:t>
      </w:r>
      <w:r/>
    </w:p>
    <w:p>
      <w:pPr>
        <w:ind w:firstLine="1080"/>
        <w:spacing w:line="360" w:lineRule="auto"/>
        <w:rPr>
          <w:rFonts w:hint="eastAsia" w:ascii="宋体" w:hAnsi="宋体"/>
          <w:sz w:val="24"/>
          <w:u w:val="single"/>
        </w:rPr>
      </w:pPr>
      <w:r>
        <w:rPr>
          <w:rFonts w:hint="eastAsia" w:ascii="宋体" w:hAnsi="宋体"/>
          <w:sz w:val="24"/>
        </w:rPr>
        <w:t xml:space="preserve">采购标的的技术要求、商务要求具体见附件。</w:t>
      </w:r>
      <w:r/>
    </w:p>
    <w:p>
      <w:pPr>
        <w:numPr>
          <w:ilvl w:val="255"/>
          <w:numId w:val="0"/>
        </w:numPr>
        <w:ind w:firstLine="1080"/>
        <w:spacing w:line="360" w:lineRule="auto"/>
        <w:rPr>
          <w:rFonts w:hint="eastAsia" w:ascii="宋体" w:hAnsi="宋体" w:cs="宋体"/>
          <w:sz w:val="24"/>
        </w:rPr>
      </w:pPr>
      <w:r>
        <w:rPr>
          <w:rFonts w:hint="eastAsia" w:ascii="宋体" w:hAnsi="宋体" w:cs="宋体"/>
          <w:sz w:val="24"/>
        </w:rPr>
        <w:t xml:space="preserve">①涉及信息类产品，请填写该产品关键部件的品牌、型号：</w:t>
      </w:r>
      <w:r/>
    </w:p>
    <w:p>
      <w:pPr>
        <w:numPr>
          <w:ilvl w:val="255"/>
          <w:numId w:val="0"/>
        </w:numPr>
        <w:ind w:firstLine="480"/>
        <w:spacing w:line="360" w:lineRule="auto"/>
        <w:rPr>
          <w:rFonts w:hint="eastAsia" w:ascii="宋体" w:hAnsi="宋体" w:cs="宋体"/>
          <w:sz w:val="24"/>
          <w:u w:val="single"/>
        </w:rPr>
      </w:pPr>
      <w:r>
        <w:rPr>
          <w:rFonts w:hint="eastAsia" w:ascii="宋体" w:hAnsi="宋体" w:cs="宋体"/>
          <w:sz w:val="24"/>
        </w:rPr>
        <w:t xml:space="preserve">     标的名称：</w:t>
      </w:r>
      <w:r/>
    </w:p>
    <w:p>
      <w:pPr>
        <w:ind w:firstLine="480"/>
        <w:spacing w:line="400" w:lineRule="exact"/>
        <w:rPr>
          <w:rFonts w:hint="eastAsia" w:ascii="宋体" w:hAnsi="宋体" w:cs="宋体"/>
          <w:szCs w:val="21"/>
        </w:rPr>
      </w:pPr>
      <w:r>
        <w:rPr>
          <w:rFonts w:hint="eastAsia" w:ascii="宋体" w:hAnsi="宋体" w:cs="宋体"/>
          <w:sz w:val="24"/>
        </w:rPr>
        <w:t xml:space="preserve">   </w:t>
      </w:r>
      <w:r>
        <w:rPr>
          <w:rFonts w:hint="eastAsia" w:ascii="宋体" w:hAnsi="宋体" w:eastAsia="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48"/>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48"/>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jc w:val="left"/>
        <w:spacing w:line="360" w:lineRule="auto"/>
        <w:widowControl/>
        <w:rPr>
          <w:rFonts w:hint="eastAsia" w:ascii="宋体" w:hAnsi="宋体" w:cs="宋体"/>
          <w:sz w:val="24"/>
        </w:rPr>
      </w:pPr>
      <w:r>
        <w:rPr>
          <w:rFonts w:hint="eastAsia" w:ascii="宋体" w:hAnsi="宋体" w:cs="宋体"/>
          <w:sz w:val="24"/>
        </w:rPr>
        <w:t xml:space="preserve">②涉及车辆采购，请填写是否属于新能源汽车：</w:t>
      </w:r>
      <w:r>
        <w:rPr>
          <w:rFonts w:ascii="Wingdings" w:hAnsi="Wingdings" w:eastAsia="Wingdings" w:cs="Wingdings"/>
          <w:sz w:val="24"/>
        </w:rPr>
        <w:t xml:space="preserve"></w:t>
      </w:r>
      <w:r>
        <w:rPr>
          <w:rFonts w:hint="eastAsia" w:ascii="宋体" w:hAnsi="宋体" w:cs="宋体"/>
          <w:sz w:val="24"/>
        </w:rPr>
        <w:t xml:space="preserve">是</w:t>
      </w:r>
      <w:r>
        <w:rPr>
          <w:rFonts w:ascii="Wingdings" w:hAnsi="Wingdings" w:eastAsia="Wingdings" w:cs="Wingdings"/>
          <w:sz w:val="24"/>
        </w:rPr>
        <w:t xml:space="preserve"></w:t>
      </w:r>
      <w:r>
        <w:rPr>
          <w:rFonts w:hint="eastAsia" w:ascii="宋体" w:hAnsi="宋体" w:cs="宋体"/>
          <w:sz w:val="24"/>
        </w:rPr>
        <w:t xml:space="preserve">否</w:t>
      </w:r>
      <w:r/>
    </w:p>
    <w:p>
      <w:pPr>
        <w:numPr>
          <w:ilvl w:val="255"/>
          <w:numId w:val="0"/>
        </w:numPr>
        <w:jc w:val="left"/>
        <w:spacing w:line="360" w:lineRule="auto"/>
        <w:widowControl/>
        <w:rPr>
          <w:rFonts w:hint="eastAsia" w:ascii="宋体" w:hAnsi="宋体" w:cs="宋体"/>
          <w:sz w:val="24"/>
        </w:rPr>
      </w:pPr>
      <w:r>
        <w:rPr>
          <w:rFonts w:hint="eastAsia" w:ascii="宋体" w:hAnsi="宋体" w:cs="宋体"/>
          <w:sz w:val="24"/>
        </w:rPr>
        <w:t xml:space="preserve">《政府采购品目分类目录》底级品目名称： 数量： 金额：</w:t>
      </w:r>
      <w:r/>
    </w:p>
    <w:p>
      <w:pPr>
        <w:numPr>
          <w:ilvl w:val="255"/>
          <w:numId w:val="0"/>
        </w:numPr>
        <w:ind w:firstLine="480"/>
        <w:jc w:val="left"/>
        <w:spacing w:line="360" w:lineRule="auto"/>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p>
    <w:p>
      <w:pPr>
        <w:numPr>
          <w:ilvl w:val="255"/>
          <w:numId w:val="0"/>
        </w:numPr>
        <w:ind w:firstLine="480"/>
        <w:jc w:val="left"/>
        <w:spacing w:line="360" w:lineRule="auto"/>
        <w:widowControl/>
        <w:rPr>
          <w:rFonts w:hint="eastAsia"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þ</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420"/>
        <w:jc w:val="left"/>
        <w:spacing w:line="360" w:lineRule="auto"/>
        <w:widowControl/>
        <w:rPr>
          <w:rFonts w:hint="eastAsia" w:ascii="宋体" w:hAnsi="宋体" w:cs="宋体"/>
          <w:sz w:val="24"/>
        </w:rPr>
      </w:pPr>
      <w:r>
        <w:rPr>
          <w:rFonts w:hint="eastAsia" w:ascii="宋体" w:hAnsi="宋体" w:cs="宋体"/>
          <w:sz w:val="24"/>
        </w:rPr>
        <w:t xml:space="preserve">（注：在框架协议采购的第二阶段，可选择使用该合同文本）</w:t>
      </w:r>
      <w:r/>
    </w:p>
    <w:p>
      <w:pPr>
        <w:numPr>
          <w:ilvl w:val="255"/>
          <w:numId w:val="0"/>
        </w:numPr>
        <w:ind w:firstLine="240"/>
        <w:jc w:val="left"/>
        <w:spacing w:line="360" w:lineRule="auto"/>
        <w:widowControl/>
        <w:rPr>
          <w:rFonts w:hint="eastAsia"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þ</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þ</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spacing w:line="360" w:lineRule="auto"/>
        <w:rPr>
          <w:rFonts w:hint="eastAsia"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960"/>
        <w:spacing w:line="360" w:lineRule="auto"/>
        <w:rPr>
          <w:rFonts w:hint="eastAsia" w:ascii="宋体" w:hAnsi="宋体"/>
          <w:sz w:val="24"/>
          <w:u w:val="single"/>
        </w:rPr>
      </w:pPr>
      <w:r>
        <w:rPr>
          <w:rFonts w:hint="eastAsia" w:ascii="宋体" w:hAnsi="宋体"/>
          <w:sz w:val="24"/>
        </w:rPr>
        <w:t xml:space="preserve">分包主要内容：</w:t>
      </w:r>
      <w:r/>
    </w:p>
    <w:p>
      <w:pPr>
        <w:ind w:firstLine="960"/>
        <w:spacing w:line="360" w:lineRule="auto"/>
        <w:rPr>
          <w:rFonts w:hint="eastAsia" w:ascii="宋体" w:hAnsi="宋体"/>
          <w:sz w:val="24"/>
        </w:rPr>
      </w:pPr>
      <w:r>
        <w:rPr>
          <w:rFonts w:hint="eastAsia" w:ascii="宋体" w:hAnsi="宋体"/>
          <w:sz w:val="24"/>
        </w:rPr>
        <w:t xml:space="preserve">分包供应商/制造商名称（如供应商和制造商不同，请分别填写）：</w:t>
      </w:r>
      <w:r/>
    </w:p>
    <w:p>
      <w:pPr>
        <w:ind w:firstLine="960"/>
        <w:spacing w:line="360" w:lineRule="auto"/>
        <w:rPr>
          <w:rFonts w:hint="eastAsia" w:ascii="宋体" w:hAnsi="宋体"/>
          <w:sz w:val="24"/>
        </w:rPr>
      </w:pPr>
      <w:r>
        <w:rPr>
          <w:rFonts w:hint="eastAsia" w:ascii="宋体" w:hAnsi="宋体"/>
          <w:sz w:val="24"/>
        </w:rPr>
        <w:t xml:space="preserve">分包供应商/制造商类型（如果供应商和制造商不同，只填写制造商类型）：</w:t>
      </w:r>
      <w:r/>
    </w:p>
    <w:p>
      <w:pPr>
        <w:ind w:firstLine="960"/>
        <w:spacing w:line="360" w:lineRule="auto"/>
        <w:rPr>
          <w:rFonts w:hint="eastAsia"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p>
    <w:p>
      <w:pPr>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p>
    <w:p>
      <w:pPr>
        <w:numPr>
          <w:ilvl w:val="255"/>
          <w:numId w:val="0"/>
        </w:numPr>
        <w:ind w:firstLine="480"/>
        <w:spacing w:line="360" w:lineRule="auto"/>
        <w:rPr>
          <w:rFonts w:hint="eastAsia"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480"/>
        <w:jc w:val="left"/>
        <w:spacing w:line="360" w:lineRule="auto"/>
        <w:widowControl/>
        <w:tabs>
          <w:tab w:val="left" w:pos="1340" w:leader="none"/>
        </w:tabs>
        <w:rPr>
          <w:rFonts w:hint="eastAsia"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hint="eastAsia"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numPr>
          <w:ilvl w:val="255"/>
          <w:numId w:val="0"/>
        </w:numPr>
        <w:ind w:firstLine="960"/>
        <w:spacing w:line="360" w:lineRule="auto"/>
        <w:rPr>
          <w:rFonts w:hint="eastAsia" w:ascii="宋体" w:hAnsi="宋体"/>
          <w:sz w:val="24"/>
        </w:rPr>
      </w:pPr>
      <w:r>
        <w:rPr>
          <w:rFonts w:hint="eastAsia" w:ascii="宋体" w:hAnsi="宋体" w:cs="宋体"/>
          <w:sz w:val="24"/>
        </w:rPr>
        <w:t xml:space="preserve">        国别：品牌： 规格型号：</w:t>
      </w:r>
      <w:r/>
    </w:p>
    <w:p>
      <w:p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hint="eastAsia"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hint="eastAsia"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hint="eastAsia"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hint="eastAsia" w:ascii="宋体" w:hAnsi="宋体"/>
          <w:sz w:val="24"/>
        </w:rPr>
      </w:pPr>
      <w:r>
        <w:rPr>
          <w:rFonts w:hint="eastAsia" w:ascii="宋体" w:hAnsi="宋体"/>
          <w:sz w:val="24"/>
        </w:rPr>
        <w:t xml:space="preserve">是否涉及绿色产品：</w:t>
      </w:r>
      <w:r/>
    </w:p>
    <w:p>
      <w:pPr>
        <w:ind w:firstLine="900"/>
        <w:jc w:val="left"/>
        <w:spacing w:line="360" w:lineRule="auto"/>
        <w:widowControl/>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900"/>
        <w:jc w:val="left"/>
        <w:spacing w:line="360" w:lineRule="auto"/>
        <w:widowControl/>
        <w:rPr>
          <w:rFonts w:hint="eastAsia"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hint="eastAsia"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合同金额</w:t>
      </w:r>
      <w:r/>
    </w:p>
    <w:p>
      <w:pPr>
        <w:ind w:firstLine="480"/>
        <w:spacing w:line="360" w:lineRule="auto"/>
        <w:rPr>
          <w:rFonts w:hint="eastAsia" w:ascii="宋体" w:hAnsi="宋体"/>
          <w:sz w:val="24"/>
        </w:rPr>
      </w:pPr>
      <w:r>
        <w:rPr>
          <w:rFonts w:hint="eastAsia" w:ascii="宋体" w:hAnsi="宋体"/>
          <w:sz w:val="24"/>
        </w:rPr>
        <w:t xml:space="preserve">（1）合同金额小写：</w:t>
      </w:r>
      <w:r/>
    </w:p>
    <w:p>
      <w:pPr>
        <w:ind w:firstLine="600"/>
        <w:spacing w:line="360" w:lineRule="auto"/>
        <w:rPr>
          <w:rFonts w:hint="eastAsia" w:ascii="宋体" w:hAnsi="宋体"/>
          <w:sz w:val="24"/>
          <w:u w:val="single"/>
        </w:rPr>
      </w:pPr>
      <w:r>
        <w:rPr>
          <w:rFonts w:hint="eastAsia" w:ascii="宋体" w:hAnsi="宋体"/>
          <w:sz w:val="24"/>
        </w:rPr>
        <w:t xml:space="preserve">大写：</w:t>
      </w:r>
      <w:r/>
    </w:p>
    <w:p>
      <w:pPr>
        <w:jc w:val="center"/>
        <w:rPr>
          <w:rFonts w:hint="eastAsia" w:ascii="宋体" w:hAnsi="宋体"/>
          <w:sz w:val="24"/>
        </w:rPr>
      </w:pPr>
      <w:r>
        <w:rPr>
          <w:rFonts w:hint="eastAsia" w:ascii="宋体" w:hAnsi="宋体"/>
          <w:sz w:val="24"/>
        </w:rPr>
        <w:t xml:space="preserve"> （2）付款方式（按项目实际勾选填写，具体详见专用条款第二节</w:t>
      </w:r>
      <w:r/>
    </w:p>
    <w:p>
      <w:pPr>
        <w:spacing w:line="360" w:lineRule="auto"/>
        <w:rPr>
          <w:rFonts w:hint="eastAsia" w:ascii="宋体" w:hAnsi="宋体"/>
          <w:sz w:val="24"/>
        </w:rPr>
      </w:pPr>
      <w:r>
        <w:rPr>
          <w:rFonts w:hint="eastAsia" w:ascii="宋体" w:hAnsi="宋体"/>
          <w:sz w:val="24"/>
        </w:rPr>
        <w:t xml:space="preserve">第12.2款）：</w:t>
      </w:r>
      <w:r/>
    </w:p>
    <w:p>
      <w:pPr>
        <w:ind w:firstLine="630"/>
        <w:spacing w:line="400" w:lineRule="exact"/>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合同签订后付至合同价的30%作为预付款，项目全部完成验收合格交付使用后付至合同价的40%，自验收合格之日起，满一年付至审定价的70%，满二年付至审定价的95%，剩余部分质保期满结清。其中涉及预付款的：合同签订后付至合同价的30%作为预付款（合同签订时，供应商明确表示无需预付款或者主动要求降低预付款比例的由双方另行商定。）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82"/>
        <w:spacing w:line="360" w:lineRule="auto"/>
        <w:rPr>
          <w:rFonts w:hint="eastAsia" w:ascii="宋体" w:hAnsi="宋体"/>
          <w:b/>
          <w:sz w:val="24"/>
          <w:u w:val="single"/>
        </w:rPr>
      </w:pPr>
      <w:r>
        <w:rPr>
          <w:rFonts w:hint="eastAsia" w:ascii="宋体" w:hAnsi="宋体"/>
          <w:b/>
          <w:sz w:val="24"/>
        </w:rPr>
        <w:t xml:space="preserve">合同履行</w:t>
      </w:r>
      <w:r/>
    </w:p>
    <w:p>
      <w:pPr>
        <w:ind w:firstLine="480"/>
        <w:spacing w:line="360" w:lineRule="auto"/>
        <w:rPr>
          <w:rFonts w:hint="eastAsia"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360" w:lineRule="auto"/>
        <w:rPr>
          <w:rFonts w:hint="eastAsia"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响水县境内</w:t>
      </w:r>
      <w:r/>
    </w:p>
    <w:p>
      <w:pPr>
        <w:ind w:firstLine="480"/>
        <w:spacing w:line="360" w:lineRule="auto"/>
        <w:rPr>
          <w:rFonts w:hint="eastAsia"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þ</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spacing w:line="360" w:lineRule="auto"/>
        <w:rPr>
          <w:rFonts w:hint="eastAsia" w:ascii="宋体" w:hAnsi="宋体" w:cs="宋体"/>
          <w:sz w:val="24"/>
        </w:rPr>
      </w:pPr>
      <w:r>
        <w:rPr>
          <w:rFonts w:hint="eastAsia" w:ascii="宋体" w:hAnsi="宋体" w:cs="宋体"/>
          <w:sz w:val="24"/>
        </w:rPr>
        <w:t xml:space="preserve">     收取履约保证金形式：</w:t>
      </w:r>
      <w:r>
        <w:rPr>
          <w:rFonts w:hint="eastAsia" w:ascii="宋体" w:hAnsi="宋体" w:cs="宋体"/>
          <w:sz w:val="24"/>
          <w:u w:val="single"/>
        </w:rPr>
        <w:t xml:space="preserve">供应商应当以支票、汇票、本票或者金融机构、担保机构出具的保函等非现金形式提交履约保证金。</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中标金额的10%</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hint="eastAsia"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验收合格。               </w:t>
      </w:r>
      <w:r/>
    </w:p>
    <w:p>
      <w:pPr>
        <w:numPr>
          <w:ilvl w:val="0"/>
          <w:numId w:val="3"/>
        </w:numPr>
        <w:ind w:firstLine="480"/>
        <w:spacing w:line="360" w:lineRule="auto"/>
        <w:rPr>
          <w:rFonts w:hint="eastAsia"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360" w:lineRule="auto"/>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pStyle w:val="788"/>
        <w:ind w:left="210" w:firstLine="240"/>
        <w:jc w:val="both"/>
        <w:spacing w:before="120" w:beforeAutospacing="0" w:after="120" w:afterAutospacing="0"/>
        <w:rPr>
          <w:rFonts w:hint="eastAsia" w:ascii="宋体" w:hAnsi="宋体" w:cs="宋体"/>
        </w:rPr>
      </w:pPr>
      <w:r>
        <w:rPr>
          <w:rFonts w:hint="eastAsia" w:ascii="宋体" w:hAnsi="宋体" w:cs="宋体"/>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rPr>
        <w:t xml:space="preserve">   </w:t>
      </w:r>
      <w:r>
        <w:rPr>
          <w:rFonts w:hint="eastAsia" w:ascii="宋体" w:hAnsi="宋体" w:cs="宋体"/>
        </w:rPr>
        <w:t xml:space="preserve">                                 </w:t>
      </w:r>
      <w:r/>
    </w:p>
    <w:p>
      <w:pPr>
        <w:ind w:firstLine="480"/>
        <w:spacing w:line="360" w:lineRule="auto"/>
        <w:rPr>
          <w:rFonts w:hint="eastAsia" w:ascii="宋体" w:hAnsi="宋体" w:cs="宋体"/>
          <w:bCs/>
          <w:sz w:val="24"/>
        </w:rPr>
      </w:pPr>
      <w:r>
        <w:rPr>
          <w:rFonts w:hint="eastAsia" w:ascii="宋体" w:hAnsi="宋体" w:cs="宋体"/>
          <w:bCs/>
          <w:sz w:val="24"/>
        </w:rPr>
        <w:t xml:space="preserve">（5）分期履行要求：</w:t>
      </w:r>
      <w:r/>
    </w:p>
    <w:p>
      <w:pPr>
        <w:ind w:firstLine="480"/>
        <w:spacing w:line="360" w:lineRule="auto"/>
        <w:rPr>
          <w:rFonts w:hint="eastAsia" w:ascii="宋体" w:hAnsi="宋体" w:cs="宋体"/>
          <w:sz w:val="24"/>
          <w:u w:val="single"/>
        </w:rPr>
      </w:pPr>
      <w:r>
        <w:rPr>
          <w:rFonts w:hint="eastAsia" w:ascii="宋体" w:hAnsi="宋体" w:cs="宋体"/>
          <w:bCs/>
          <w:sz w:val="24"/>
        </w:rPr>
        <w:t xml:space="preserve">（6）风险处置措施和替代方案：</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合同验收</w:t>
      </w:r>
      <w:r/>
    </w:p>
    <w:p>
      <w:pPr>
        <w:ind w:firstLine="480"/>
        <w:spacing w:line="36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hint="eastAsia"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hint="eastAsia"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960"/>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p>
    <w:p>
      <w:pPr>
        <w:ind w:firstLine="960"/>
        <w:spacing w:line="360" w:lineRule="auto"/>
        <w:rPr>
          <w:rFonts w:hint="eastAsia" w:ascii="宋体" w:hAnsi="宋体"/>
          <w:bCs/>
          <w:sz w:val="24"/>
          <w:u w:val="single"/>
        </w:rPr>
      </w:pPr>
      <w:r>
        <w:rPr>
          <w:rFonts w:hint="eastAsia" w:ascii="宋体" w:hAnsi="宋体"/>
          <w:bCs/>
          <w:sz w:val="24"/>
        </w:rPr>
        <w:t xml:space="preserve">验收组织的其他事项：</w:t>
      </w:r>
      <w:r/>
    </w:p>
    <w:p>
      <w:pPr>
        <w:ind w:firstLine="480"/>
        <w:spacing w:line="360" w:lineRule="auto"/>
        <w:rPr>
          <w:rFonts w:hint="eastAsia"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p>
    <w:p>
      <w:pPr>
        <w:ind w:firstLine="480"/>
        <w:spacing w:line="360" w:lineRule="auto"/>
        <w:rPr>
          <w:rFonts w:hint="eastAsia"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p>
    <w:p>
      <w:pPr>
        <w:spacing w:line="360" w:lineRule="auto"/>
        <w:rPr>
          <w:rFonts w:hint="eastAsia"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480"/>
        <w:spacing w:line="360" w:lineRule="auto"/>
        <w:rPr>
          <w:rFonts w:hint="eastAsia" w:ascii="宋体" w:hAnsi="宋体"/>
          <w:bCs/>
          <w:sz w:val="24"/>
        </w:rPr>
      </w:pPr>
      <w:r>
        <w:rPr>
          <w:rFonts w:hint="eastAsia" w:ascii="宋体" w:hAnsi="宋体"/>
          <w:bCs/>
          <w:sz w:val="24"/>
        </w:rPr>
        <w:t xml:space="preserve">（4）履约验收程序：</w:t>
      </w:r>
      <w:r/>
    </w:p>
    <w:p>
      <w:pPr>
        <w:ind w:firstLine="480"/>
        <w:spacing w:line="360" w:lineRule="auto"/>
        <w:rPr>
          <w:rFonts w:hint="eastAsia"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宋体" w:hAnsi="宋体"/>
          <w:bCs/>
          <w:sz w:val="24"/>
          <w:u w:val="single"/>
        </w:rPr>
      </w:pPr>
      <w:r>
        <w:rPr>
          <w:rFonts w:hint="eastAsia" w:ascii="宋体" w:hAnsi="宋体"/>
          <w:bCs/>
          <w:sz w:val="24"/>
        </w:rPr>
        <w:t xml:space="preserve">（6）履约验收标准：</w:t>
      </w:r>
      <w:r/>
    </w:p>
    <w:p>
      <w:pPr>
        <w:ind w:firstLine="480"/>
        <w:jc w:val="left"/>
        <w:spacing w:line="360" w:lineRule="auto"/>
        <w:widowControl/>
        <w:rPr>
          <w:rFonts w:hint="eastAsia"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480"/>
        <w:spacing w:line="360" w:lineRule="auto"/>
        <w:rPr>
          <w:rFonts w:hint="eastAsia"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ind w:firstLine="482"/>
        <w:spacing w:line="360" w:lineRule="auto"/>
        <w:rPr>
          <w:rFonts w:hint="eastAsia" w:ascii="宋体" w:hAnsi="宋体"/>
          <w:b/>
          <w:sz w:val="24"/>
        </w:rPr>
      </w:pPr>
      <w:r>
        <w:rPr>
          <w:rFonts w:hint="eastAsia" w:ascii="宋体" w:hAnsi="宋体"/>
          <w:b/>
          <w:sz w:val="24"/>
        </w:rPr>
        <w:t xml:space="preserve">组成合同的文件</w:t>
      </w:r>
      <w:r/>
    </w:p>
    <w:p>
      <w:pPr>
        <w:ind w:firstLine="480"/>
        <w:spacing w:line="360" w:lineRule="auto"/>
        <w:rPr>
          <w:rFonts w:hint="eastAsia"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hint="eastAsia" w:ascii="宋体" w:hAnsi="宋体"/>
          <w:sz w:val="24"/>
        </w:rPr>
      </w:pPr>
      <w:r>
        <w:rPr>
          <w:rFonts w:hint="eastAsia" w:ascii="宋体" w:hAnsi="宋体"/>
          <w:sz w:val="24"/>
        </w:rPr>
        <w:t xml:space="preserve">（1）政府采购合同协议书及其变更、补充协议</w:t>
      </w:r>
      <w:r/>
    </w:p>
    <w:p>
      <w:pPr>
        <w:spacing w:line="360" w:lineRule="auto"/>
        <w:rPr>
          <w:rFonts w:hint="eastAsia" w:ascii="宋体" w:hAnsi="宋体"/>
          <w:sz w:val="24"/>
        </w:rPr>
      </w:pPr>
      <w:r>
        <w:rPr>
          <w:rFonts w:hint="eastAsia" w:ascii="宋体" w:hAnsi="宋体"/>
          <w:sz w:val="24"/>
        </w:rPr>
        <w:t xml:space="preserve">（2）政府采购合同专用条款</w:t>
      </w:r>
      <w:r/>
    </w:p>
    <w:p>
      <w:pPr>
        <w:spacing w:line="360" w:lineRule="auto"/>
        <w:rPr>
          <w:rFonts w:hint="eastAsia" w:ascii="宋体" w:hAnsi="宋体"/>
          <w:sz w:val="24"/>
        </w:rPr>
      </w:pPr>
      <w:r>
        <w:rPr>
          <w:rFonts w:hint="eastAsia" w:ascii="宋体" w:hAnsi="宋体"/>
          <w:sz w:val="24"/>
        </w:rPr>
        <w:t xml:space="preserve">（3）政府采购合同通用条款</w:t>
      </w:r>
      <w:r/>
    </w:p>
    <w:p>
      <w:pPr>
        <w:spacing w:line="360" w:lineRule="auto"/>
        <w:rPr>
          <w:rFonts w:hint="eastAsia" w:ascii="宋体" w:hAnsi="宋体"/>
          <w:sz w:val="24"/>
        </w:rPr>
      </w:pPr>
      <w:r>
        <w:rPr>
          <w:rFonts w:hint="eastAsia" w:ascii="宋体" w:hAnsi="宋体"/>
          <w:sz w:val="24"/>
        </w:rPr>
        <w:t xml:space="preserve">（4）中标（成交）通知书</w:t>
      </w:r>
      <w:r/>
    </w:p>
    <w:p>
      <w:pPr>
        <w:spacing w:line="360" w:lineRule="auto"/>
        <w:rPr>
          <w:rFonts w:hint="eastAsia" w:ascii="宋体" w:hAnsi="宋体"/>
          <w:sz w:val="24"/>
        </w:rPr>
      </w:pPr>
      <w:r>
        <w:rPr>
          <w:rFonts w:hint="eastAsia" w:ascii="宋体" w:hAnsi="宋体"/>
          <w:sz w:val="24"/>
        </w:rPr>
        <w:t xml:space="preserve">（5）投标（响应）文件</w:t>
      </w:r>
      <w:r/>
    </w:p>
    <w:p>
      <w:pPr>
        <w:spacing w:line="360" w:lineRule="auto"/>
        <w:rPr>
          <w:rFonts w:hint="eastAsia" w:ascii="宋体" w:hAnsi="宋体"/>
          <w:sz w:val="24"/>
        </w:rPr>
      </w:pPr>
      <w:r>
        <w:rPr>
          <w:rFonts w:hint="eastAsia" w:ascii="宋体" w:hAnsi="宋体"/>
          <w:sz w:val="24"/>
        </w:rPr>
        <w:t xml:space="preserve">（6）采购文件</w:t>
      </w:r>
      <w:r/>
    </w:p>
    <w:p>
      <w:pPr>
        <w:spacing w:line="360" w:lineRule="auto"/>
        <w:rPr>
          <w:rFonts w:hint="eastAsia" w:ascii="宋体" w:hAnsi="宋体"/>
          <w:sz w:val="24"/>
        </w:rPr>
      </w:pPr>
      <w:r>
        <w:rPr>
          <w:rFonts w:hint="eastAsia" w:ascii="宋体" w:hAnsi="宋体"/>
          <w:sz w:val="24"/>
        </w:rPr>
        <w:t xml:space="preserve">（7）有关技术文件，图纸</w:t>
      </w:r>
      <w:r/>
    </w:p>
    <w:p>
      <w:pPr>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p>
    <w:p>
      <w:pPr>
        <w:ind w:left="422"/>
        <w:spacing w:line="400" w:lineRule="exact"/>
        <w:rPr>
          <w:rFonts w:hint="eastAsia"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480"/>
        <w:spacing w:line="360" w:lineRule="auto"/>
        <w:rPr>
          <w:rFonts w:hint="eastAsia"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spacing w:line="360" w:lineRule="auto"/>
        <w:rPr>
          <w:rFonts w:hint="eastAsia" w:ascii="宋体" w:hAnsi="宋体"/>
          <w:b/>
          <w:sz w:val="24"/>
        </w:rPr>
      </w:pPr>
      <w:r>
        <w:rPr>
          <w:rFonts w:hint="eastAsia" w:ascii="宋体" w:hAnsi="宋体"/>
          <w:b/>
          <w:sz w:val="24"/>
        </w:rPr>
        <w:t xml:space="preserve">7.合同份数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u w:val="single"/>
        </w:rPr>
      </w:pPr>
      <w:r>
        <w:rPr>
          <w:rFonts w:hint="eastAsia"/>
          <w:sz w:val="24"/>
        </w:rPr>
        <w:br w:type="page" w:clear="all"/>
      </w:r>
      <w:r/>
    </w:p>
    <w:p>
      <w:pPr>
        <w:ind w:firstLine="420"/>
        <w:spacing w:line="360" w:lineRule="auto"/>
        <w:rPr>
          <w:szCs w:val="21"/>
        </w:rPr>
      </w:pPr>
      <w:r>
        <w:rPr>
          <w:szCs w:val="21"/>
        </w:rPr>
      </w:r>
      <w:r/>
    </w:p>
    <w:tbl>
      <w:tblPr>
        <w:tblStyle w:val="767"/>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758"/>
        <w:spacing w:before="156"/>
        <w:rPr>
          <w:rFonts w:hint="eastAsia" w:ascii="黑体" w:hAnsi="黑体" w:eastAsia="黑体"/>
          <w:sz w:val="28"/>
          <w:szCs w:val="28"/>
        </w:rPr>
      </w:pPr>
      <w:r>
        <w:rPr>
          <w:u w:val="single"/>
        </w:rPr>
        <w:br w:type="page" w:clear="all"/>
      </w:r>
      <w:bookmarkStart w:id="195" w:name="_Toc27624"/>
      <w:r/>
      <w:bookmarkStart w:id="196" w:name="_Toc20313"/>
      <w:r>
        <w:rPr>
          <w:rFonts w:ascii="黑体" w:hAnsi="黑体" w:eastAsia="黑体"/>
          <w:b w:val="0"/>
          <w:bCs w:val="0"/>
          <w:sz w:val="28"/>
          <w:szCs w:val="28"/>
        </w:rPr>
        <w:t xml:space="preserve">第二节 政府采购合同通用条款</w:t>
      </w:r>
      <w:bookmarkEnd w:id="195"/>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szCs w:val="21"/>
        </w:rPr>
      </w:pPr>
      <w:r>
        <w:rPr>
          <w:rFonts w:hint="eastAsia" w:ascii="宋体" w:hAnsi="宋体"/>
          <w:szCs w:val="21"/>
        </w:rPr>
        <w:t xml:space="preserve">1.1合同当事人</w:t>
      </w:r>
      <w:r/>
    </w:p>
    <w:p>
      <w:pPr>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hint="eastAsia" w:ascii="宋体" w:hAnsi="宋体"/>
          <w:szCs w:val="21"/>
          <w:lang w:val="en"/>
        </w:rPr>
        <w:t xml:space="preserve">其他</w:t>
      </w:r>
      <w:r>
        <w:rPr>
          <w:rFonts w:hint="eastAsia" w:ascii="宋体" w:hAnsi="宋体"/>
          <w:szCs w:val="21"/>
        </w:rPr>
        <w:t xml:space="preserve">技术资料和材料等。</w:t>
      </w:r>
      <w:r/>
    </w:p>
    <w:p>
      <w:pPr>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p>
    <w:p>
      <w:pPr>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4"/>
        </w:numPr>
        <w:jc w:val="left"/>
        <w:spacing w:line="400" w:lineRule="exact"/>
        <w:rPr>
          <w:rFonts w:hint="eastAsia" w:ascii="宋体" w:hAnsi="宋体"/>
          <w:b/>
          <w:bCs/>
          <w:sz w:val="24"/>
        </w:rPr>
      </w:pPr>
      <w:r>
        <w:rPr>
          <w:rFonts w:hint="eastAsia" w:ascii="宋体" w:hAnsi="宋体"/>
          <w:b/>
          <w:sz w:val="24"/>
        </w:rPr>
        <w:t xml:space="preserve">合同标的及金额</w:t>
      </w:r>
      <w:r/>
    </w:p>
    <w:p>
      <w:pPr>
        <w:ind w:firstLine="420"/>
        <w:jc w:val="left"/>
        <w:spacing w:line="400" w:lineRule="exact"/>
        <w:rPr>
          <w:rFonts w:hint="eastAsia" w:ascii="宋体" w:hAnsi="宋体"/>
          <w:b/>
          <w:bCs/>
          <w:i/>
          <w:iCs/>
          <w:szCs w:val="21"/>
        </w:rPr>
      </w:pPr>
      <w:r>
        <w:rPr>
          <w:rFonts w:hint="eastAsia" w:ascii="宋体" w:hAnsi="宋体"/>
          <w:szCs w:val="21"/>
        </w:rPr>
        <w:t xml:space="preserve">2.1合同标的及金额应与中标（成交）结果一致。乙方为履行本合同而发生的所有费用均应包含在合同价款中，甲方不再另行支付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p>
    <w:p>
      <w:pPr>
        <w:jc w:val="left"/>
        <w:spacing w:line="400" w:lineRule="exact"/>
        <w:rPr>
          <w:rFonts w:hint="eastAsia" w:ascii="宋体" w:hAnsi="宋体"/>
          <w:b/>
          <w:sz w:val="24"/>
        </w:rPr>
      </w:pPr>
      <w:r>
        <w:rPr>
          <w:rFonts w:hint="eastAsia" w:ascii="宋体" w:hAnsi="宋体"/>
          <w:b/>
          <w:sz w:val="24"/>
        </w:rPr>
        <w:t xml:space="preserve">3. 履行合同的时间、地点和方式</w:t>
      </w:r>
      <w:r/>
    </w:p>
    <w:p>
      <w:pPr>
        <w:ind w:firstLine="420"/>
        <w:jc w:val="left"/>
        <w:spacing w:line="400" w:lineRule="exact"/>
        <w:rPr>
          <w:rFonts w:hint="eastAsia" w:ascii="宋体" w:hAnsi="宋体"/>
          <w:szCs w:val="21"/>
        </w:rPr>
      </w:pPr>
      <w:r>
        <w:rPr>
          <w:rFonts w:hint="eastAsia" w:ascii="宋体" w:hAnsi="宋体"/>
          <w:szCs w:val="21"/>
        </w:rPr>
        <w:t xml:space="preserve">3.1</w:t>
      </w:r>
      <w:r>
        <w:rPr>
          <w:rFonts w:hint="eastAsia" w:ascii="宋体" w:hAnsi="宋体" w:cs="宋体"/>
          <w:szCs w:val="21"/>
        </w:rPr>
        <w:t xml:space="preserve">乙方应当在约定的时间、地点，按照约定方式履行合同。</w:t>
      </w:r>
      <w:r/>
    </w:p>
    <w:p>
      <w:pPr>
        <w:jc w:val="left"/>
        <w:spacing w:line="400" w:lineRule="exact"/>
        <w:rPr>
          <w:rFonts w:hint="eastAsia" w:ascii="宋体" w:hAnsi="宋体"/>
          <w:b/>
          <w:bCs/>
          <w:sz w:val="24"/>
        </w:rPr>
      </w:pPr>
      <w:r>
        <w:rPr>
          <w:rFonts w:hint="eastAsia" w:ascii="宋体" w:hAnsi="宋体"/>
          <w:b/>
          <w:bCs/>
          <w:sz w:val="24"/>
        </w:rPr>
        <w:t xml:space="preserve">4. 甲方的权利和义务</w:t>
      </w:r>
      <w:r/>
    </w:p>
    <w:p>
      <w:pPr>
        <w:ind w:firstLine="420"/>
        <w:jc w:val="left"/>
        <w:spacing w:line="400" w:lineRule="exact"/>
        <w:rPr>
          <w:rFonts w:hint="eastAsia" w:ascii="宋体" w:hAnsi="宋体"/>
          <w:szCs w:val="21"/>
        </w:rPr>
      </w:pPr>
      <w:r>
        <w:rPr>
          <w:rFonts w:hint="eastAsia" w:ascii="宋体" w:hAnsi="宋体"/>
          <w:szCs w:val="21"/>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szCs w:val="21"/>
        </w:rPr>
      </w:pPr>
      <w:r>
        <w:rPr>
          <w:rFonts w:hint="eastAsia" w:ascii="宋体" w:hAnsi="宋体"/>
          <w:szCs w:val="21"/>
        </w:rPr>
        <w:t xml:space="preserve">4.2甲方有权要求乙方按时提交各阶段有关安排计划，并有权定期核对乙方提供货物数量、规格、质量等内容。甲方有权督促乙方工作并要求乙方更换不符合要求的货物。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szCs w:val="21"/>
        </w:rPr>
      </w:pPr>
      <w:r>
        <w:rPr>
          <w:rFonts w:hint="eastAsia" w:ascii="宋体" w:hAnsi="宋体"/>
          <w:szCs w:val="21"/>
        </w:rPr>
        <w:t xml:space="preserve">4.3甲方有权要求乙方对缺陷部分予以修复，并按合同约定享有货物保修及其他合同约定的权利。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szCs w:val="21"/>
        </w:rPr>
        <w:t xml:space="preserve">4.4甲方应当按照合同约定及时对交付的货物进行验收，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hint="eastAsia" w:ascii="宋体" w:hAnsi="宋体"/>
          <w:szCs w:val="21"/>
        </w:rPr>
      </w:pPr>
      <w:r>
        <w:rPr>
          <w:rFonts w:hint="eastAsia" w:ascii="宋体" w:hAnsi="宋体"/>
          <w:szCs w:val="21"/>
        </w:rPr>
        <w:t xml:space="preserve">4.5甲方应当根据合同约定及时向乙方支付合同价款，不得以内部人员变更、履行内部付款流程等为由，拒绝或迟延支付。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szCs w:val="21"/>
        </w:rPr>
      </w:pPr>
      <w:r>
        <w:rPr>
          <w:rFonts w:hint="eastAsia" w:ascii="宋体" w:hAnsi="宋体"/>
          <w:szCs w:val="21"/>
        </w:rPr>
        <w:t xml:space="preserve">4.6国家法律法规规定及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hint="eastAsia" w:ascii="宋体" w:hAnsi="宋体"/>
          <w:b/>
          <w:bCs/>
          <w:sz w:val="24"/>
        </w:rPr>
      </w:pPr>
      <w:r>
        <w:rPr>
          <w:rFonts w:hint="eastAsia" w:ascii="宋体" w:hAnsi="宋体"/>
          <w:b/>
          <w:bCs/>
          <w:sz w:val="24"/>
        </w:rPr>
        <w:t xml:space="preserve">5. 乙方的权利和义务</w:t>
      </w:r>
      <w:r/>
    </w:p>
    <w:p>
      <w:pPr>
        <w:ind w:firstLine="420"/>
        <w:jc w:val="left"/>
        <w:spacing w:line="400" w:lineRule="exact"/>
        <w:rPr>
          <w:rFonts w:hint="eastAsia" w:ascii="宋体" w:hAnsi="宋体"/>
          <w:szCs w:val="21"/>
        </w:rPr>
      </w:pPr>
      <w:r>
        <w:rPr>
          <w:rFonts w:hint="eastAsia" w:ascii="宋体" w:hAnsi="宋体"/>
          <w:szCs w:val="21"/>
        </w:rPr>
        <w:t xml:space="preserve">5.1签署合同后，乙方应确定项目负责人（或项目联系人），负责与本合同有关的事务。</w:t>
      </w:r>
      <w:r/>
    </w:p>
    <w:p>
      <w:pPr>
        <w:ind w:firstLine="420"/>
        <w:jc w:val="left"/>
        <w:spacing w:line="400" w:lineRule="exact"/>
        <w:rPr>
          <w:rFonts w:hint="eastAsia" w:ascii="宋体" w:hAnsi="宋体"/>
          <w:szCs w:val="21"/>
        </w:rPr>
      </w:pPr>
      <w:r>
        <w:rPr>
          <w:rFonts w:hint="eastAsia" w:ascii="宋体" w:hAnsi="宋体"/>
          <w:szCs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71"/>
        <w:ind w:firstLine="369"/>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p>
    <w:p>
      <w:pPr>
        <w:pStyle w:val="771"/>
        <w:ind w:firstLine="369"/>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5"/>
        </w:numPr>
        <w:jc w:val="left"/>
        <w:spacing w:line="400" w:lineRule="exact"/>
        <w:rPr>
          <w:rFonts w:hint="eastAsia" w:ascii="宋体" w:hAnsi="宋体"/>
          <w:b/>
          <w:bCs/>
          <w:sz w:val="24"/>
        </w:rPr>
      </w:pPr>
      <w:r>
        <w:rPr>
          <w:rFonts w:hint="eastAsia" w:ascii="宋体" w:hAnsi="宋体"/>
          <w:b/>
          <w:bCs/>
          <w:sz w:val="24"/>
        </w:rPr>
        <w:t xml:space="preserve">合同履行</w:t>
      </w:r>
      <w:r/>
    </w:p>
    <w:p>
      <w:pPr>
        <w:ind w:firstLine="420"/>
        <w:jc w:val="left"/>
        <w:spacing w:line="400" w:lineRule="exact"/>
        <w:rPr>
          <w:rFonts w:hint="eastAsia" w:ascii="宋体" w:hAnsi="宋体"/>
          <w:szCs w:val="21"/>
        </w:rPr>
      </w:pPr>
      <w:r>
        <w:rPr>
          <w:rFonts w:hint="eastAsia" w:ascii="宋体" w:hAnsi="宋体"/>
          <w:szCs w:val="21"/>
        </w:rPr>
        <w:t xml:space="preserve">6.1甲乙双方应当按照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pPr>
      <w:r>
        <w:rPr>
          <w:rFonts w:hint="eastAsia" w:ascii="宋体" w:hAnsi="宋体"/>
          <w:szCs w:val="21"/>
        </w:rPr>
        <w:t xml:space="preserve">6.2甲乙双方按照合同约定顺序履行合同义务时，应当先履行一方未履行的，后履行一方有权拒绝其履行请求。先履行一方履行不符合约定的，后履行一方有权拒绝其相应的履行请求。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sz w:val="24"/>
        </w:rPr>
      </w:pPr>
      <w:r>
        <w:rPr>
          <w:rFonts w:hint="eastAsia" w:ascii="宋体" w:hAnsi="宋体"/>
          <w:b/>
          <w:bCs/>
          <w:sz w:val="24"/>
        </w:rPr>
        <w:t xml:space="preserve">7. 货物包装、运输、保险和交付要求</w:t>
      </w:r>
      <w:r/>
    </w:p>
    <w:p>
      <w:pPr>
        <w:ind w:firstLine="420"/>
        <w:jc w:val="left"/>
        <w:spacing w:line="400" w:lineRule="exact"/>
        <w:rPr>
          <w:rFonts w:hint="eastAsia" w:ascii="宋体" w:hAnsi="宋体"/>
          <w:szCs w:val="21"/>
        </w:rPr>
      </w:pPr>
      <w:r>
        <w:rPr>
          <w:rFonts w:hint="eastAsia" w:ascii="宋体" w:hAnsi="宋体"/>
          <w:szCs w:val="21"/>
        </w:rPr>
        <w:t xml:space="preserve">7.1本合同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hint="eastAsia" w:ascii="宋体" w:hAnsi="宋体"/>
          <w:szCs w:val="21"/>
        </w:rPr>
      </w:pPr>
      <w:r>
        <w:rPr>
          <w:rFonts w:hint="eastAsia" w:ascii="宋体" w:hAnsi="宋体"/>
          <w:szCs w:val="21"/>
        </w:rPr>
        <w:t xml:space="preserve">7.2除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szCs w:val="21"/>
        </w:rPr>
      </w:pPr>
      <w:r>
        <w:rPr>
          <w:rFonts w:hint="eastAsia" w:ascii="宋体" w:hAnsi="宋体"/>
          <w:szCs w:val="21"/>
        </w:rPr>
        <w:t xml:space="preserve">7.3货物保险要求按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szCs w:val="21"/>
        </w:rPr>
      </w:pPr>
      <w:r>
        <w:rPr>
          <w:rFonts w:hint="eastAsia" w:ascii="宋体" w:hAnsi="宋体"/>
          <w:szCs w:val="21"/>
        </w:rPr>
        <w:t xml:space="preserve">7.5</w:t>
      </w:r>
      <w:r>
        <w:rPr>
          <w:rFonts w:hint="eastAsia" w:ascii="宋体" w:hAnsi="宋体" w:cs="宋体"/>
          <w:szCs w:val="21"/>
        </w:rPr>
        <w:t xml:space="preserve">乙方在运输到达之前应提前通知甲方，并提示货物运输装卸的注意事项，甲方配合乙方做好货物的接收工作。</w:t>
      </w:r>
      <w:r/>
    </w:p>
    <w:p>
      <w:pPr>
        <w:pStyle w:val="948"/>
        <w:ind w:firstLine="420"/>
        <w:rPr>
          <w:rFonts w:hint="eastAsia"/>
          <w:sz w:val="21"/>
        </w:rPr>
      </w:pPr>
      <w:r>
        <w:rPr>
          <w:rFonts w:hint="eastAsia" w:ascii="宋体" w:hAnsi="宋体" w:eastAsia="宋体" w:cs="Times New Roman"/>
          <w:sz w:val="21"/>
        </w:rPr>
        <w:t xml:space="preserve">7.6如因包装、运输问题导致货物损毁、丢失或者品质下降，甲方有权要求降价、换货、拒收部分或整批货物，由此产生的费用和损失，均由乙方承担。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sz w:val="24"/>
        </w:rPr>
        <w:t xml:space="preserve">8. 质量标准和保证</w:t>
      </w:r>
      <w:r/>
    </w:p>
    <w:p>
      <w:pPr>
        <w:pStyle w:val="774"/>
        <w:ind w:firstLine="420"/>
        <w:jc w:val="left"/>
        <w:spacing w:line="400" w:lineRule="exact"/>
        <w:rPr>
          <w:rFonts w:hint="eastAsia" w:hAnsi="宋体"/>
          <w:b/>
        </w:rPr>
      </w:pPr>
      <w:r>
        <w:rPr>
          <w:rFonts w:hint="eastAsia" w:hAnsi="宋体"/>
        </w:rPr>
        <w:t xml:space="preserve">8.1质量标准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4"/>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rPr>
      </w:pPr>
      <w:r>
        <w:rPr>
          <w:rFonts w:hint="eastAsia" w:ascii="宋体" w:hAnsi="宋体"/>
          <w:szCs w:val="21"/>
        </w:rPr>
        <w:t xml:space="preserve">8.2保证</w:t>
      </w:r>
      <w:r/>
    </w:p>
    <w:p>
      <w:pPr>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sz w:val="24"/>
        </w:rPr>
        <w:t xml:space="preserve">9. 权利瑕疵担保</w:t>
      </w:r>
      <w:r/>
    </w:p>
    <w:p>
      <w:pPr>
        <w:ind w:firstLine="420"/>
        <w:jc w:val="left"/>
        <w:spacing w:line="400" w:lineRule="exact"/>
        <w:rPr>
          <w:rFonts w:hint="eastAsia" w:ascii="宋体" w:hAnsi="宋体"/>
          <w:szCs w:val="21"/>
        </w:rPr>
      </w:pPr>
      <w:r>
        <w:rPr>
          <w:rFonts w:hint="eastAsia" w:ascii="宋体" w:hAnsi="宋体"/>
          <w:szCs w:val="21"/>
        </w:rPr>
        <w:t xml:space="preserve">9.1乙方保证对其出售的货物享有合法的权利。</w:t>
      </w:r>
      <w:r/>
    </w:p>
    <w:p>
      <w:pPr>
        <w:ind w:firstLine="420"/>
        <w:jc w:val="left"/>
        <w:spacing w:line="400" w:lineRule="exact"/>
        <w:rPr>
          <w:rFonts w:hint="eastAsia" w:ascii="宋体" w:hAnsi="宋体"/>
          <w:szCs w:val="21"/>
        </w:rPr>
      </w:pPr>
      <w:r>
        <w:rPr>
          <w:rFonts w:hint="eastAsia" w:ascii="宋体" w:hAnsi="宋体"/>
          <w:szCs w:val="21"/>
        </w:rPr>
        <w:t xml:space="preserve">9.2</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szCs w:val="21"/>
        </w:rPr>
      </w:pPr>
      <w:r>
        <w:rPr>
          <w:rFonts w:hint="eastAsia" w:ascii="宋体" w:hAnsi="宋体"/>
          <w:szCs w:val="21"/>
        </w:rPr>
        <w:t xml:space="preserve">9.3如甲方使用上述货物构成对第三人侵权的，则由乙方承担全部责任。</w:t>
      </w:r>
      <w:r/>
    </w:p>
    <w:p>
      <w:pPr>
        <w:jc w:val="left"/>
        <w:spacing w:line="400" w:lineRule="exact"/>
        <w:rPr>
          <w:rFonts w:hint="eastAsia" w:ascii="宋体" w:hAnsi="宋体"/>
          <w:b/>
          <w:bCs/>
          <w:sz w:val="24"/>
        </w:rPr>
      </w:pPr>
      <w:r>
        <w:rPr>
          <w:rFonts w:hint="eastAsia" w:ascii="宋体" w:hAnsi="宋体"/>
          <w:b/>
          <w:bCs/>
          <w:sz w:val="24"/>
        </w:rPr>
        <w:t xml:space="preserve">10. 知识产权保护</w:t>
      </w:r>
      <w:r/>
    </w:p>
    <w:p>
      <w:pPr>
        <w:ind w:firstLine="420"/>
        <w:jc w:val="left"/>
        <w:spacing w:line="400" w:lineRule="exact"/>
        <w:rPr>
          <w:rFonts w:hint="eastAsia" w:ascii="宋体" w:hAnsi="宋体"/>
          <w:szCs w:val="21"/>
        </w:rPr>
      </w:pPr>
      <w:r>
        <w:rPr>
          <w:rFonts w:hint="eastAsia" w:ascii="宋体" w:hAnsi="宋体"/>
          <w:szCs w:val="21"/>
        </w:rPr>
        <w:t xml:space="preserve">10.1乙方对其所销售的货物应当享有知识产权或经权利人合法授权，保证没有侵犯任何第三人的知识产权等权利。</w:t>
      </w:r>
      <w:bookmarkStart w:id="19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7"/>
      <w:r>
        <w:rPr>
          <w:rFonts w:hint="eastAsia" w:ascii="宋体" w:hAnsi="宋体"/>
          <w:szCs w:val="21"/>
        </w:rPr>
        <w:t xml:space="preserve">。</w:t>
      </w:r>
      <w:r/>
    </w:p>
    <w:p>
      <w:pPr>
        <w:ind w:firstLine="420"/>
        <w:jc w:val="left"/>
        <w:spacing w:line="400" w:lineRule="exact"/>
        <w:rPr>
          <w:rFonts w:hint="eastAsia" w:ascii="宋体" w:hAnsi="宋体"/>
          <w:szCs w:val="21"/>
        </w:rPr>
      </w:pPr>
      <w:r>
        <w:rPr>
          <w:rFonts w:hint="eastAsia" w:ascii="宋体" w:hAnsi="宋体"/>
          <w:szCs w:val="21"/>
        </w:rPr>
        <w:t xml:space="preserve">10.2双方确定，乙方将服务成果交付甲方使用，本项目所有软件、硬件及相关设施产权归乙方所有。</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12.1合同价款支付按照国库集中支付制度及财政管理相关规定执行。</w:t>
      </w:r>
      <w:r/>
    </w:p>
    <w:p>
      <w:pPr>
        <w:pStyle w:val="758"/>
        <w:ind w:firstLine="420"/>
        <w:spacing w:line="400" w:lineRule="exact"/>
        <w:rPr>
          <w:rFonts w:hint="eastAsia"/>
        </w:rPr>
      </w:pPr>
      <w:r>
        <w:rPr>
          <w:b w:val="0"/>
          <w:bCs w:val="0"/>
          <w:sz w:val="21"/>
          <w:szCs w:val="21"/>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771"/>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48"/>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hint="eastAsia" w:ascii="宋体" w:hAnsi="宋体"/>
          <w:szCs w:val="21"/>
        </w:rPr>
      </w:pPr>
      <w:r>
        <w:rPr>
          <w:rFonts w:hint="eastAsia" w:ascii="宋体" w:hAnsi="宋体"/>
          <w:szCs w:val="21"/>
        </w:rPr>
        <w:t xml:space="preserve">14.2乙方提供的售后服务的费用已包含在合同价款中，甲方不再另行支付。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hint="eastAsia" w:ascii="宋体" w:hAnsi="宋体"/>
          <w:bCs/>
          <w:szCs w:val="21"/>
        </w:rPr>
      </w:pPr>
      <w:r>
        <w:rPr>
          <w:rFonts w:hint="eastAsia" w:ascii="宋体" w:hAnsi="宋体"/>
          <w:bCs/>
          <w:szCs w:val="21"/>
        </w:rPr>
        <w:t xml:space="preserve">15.2迟延交货的违约责任</w:t>
      </w:r>
      <w:r/>
    </w:p>
    <w:p>
      <w:pPr>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rPr>
      </w:pPr>
      <w:r>
        <w:rPr>
          <w:rFonts w:hint="eastAsia" w:ascii="宋体" w:hAnsi="宋体"/>
          <w:szCs w:val="21"/>
        </w:rPr>
        <w:t xml:space="preserve">15.3 迟延支付的违约责任</w:t>
      </w:r>
      <w:r/>
    </w:p>
    <w:p>
      <w:pPr>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rPr>
      </w:pPr>
      <w:r>
        <w:rPr>
          <w:rFonts w:hint="eastAsia" w:ascii="宋体" w:hAnsi="宋体"/>
          <w:szCs w:val="21"/>
        </w:rPr>
        <w:t xml:space="preserve">16.2合同的中止</w:t>
      </w:r>
      <w:r/>
    </w:p>
    <w:p>
      <w:pPr>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8"/>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hint="eastAsia" w:ascii="宋体" w:hAnsi="宋体"/>
          <w:szCs w:val="21"/>
        </w:rPr>
      </w:pPr>
      <w:r>
        <w:rPr>
          <w:rFonts w:hint="eastAsia" w:ascii="宋体" w:hAnsi="宋体"/>
          <w:szCs w:val="21"/>
        </w:rPr>
        <w:t xml:space="preserve">16.3合同的终止</w:t>
      </w:r>
      <w:r/>
    </w:p>
    <w:p>
      <w:pPr>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48"/>
        <w:rPr>
          <w:rFonts w:hint="eastAsia" w:ascii="宋体" w:hAnsi="宋体"/>
        </w:rPr>
      </w:pPr>
      <w:r>
        <w:rPr>
          <w:rFonts w:hint="eastAsia" w:ascii="宋体" w:hAnsi="宋体"/>
        </w:rPr>
        <w:t xml:space="preserve">16.4</w:t>
      </w:r>
      <w:r>
        <w:rPr>
          <w:rFonts w:hint="eastAsia" w:ascii="宋体" w:hAnsi="宋体" w:eastAsia="宋体" w:cs="Times New Roman"/>
          <w:sz w:val="21"/>
        </w:rPr>
        <w:t xml:space="preserve">涉及国家利益、社会公共利益的情形</w:t>
      </w:r>
      <w:r/>
    </w:p>
    <w:p>
      <w:pPr>
        <w:pStyle w:val="948"/>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szCs w:val="21"/>
        </w:rPr>
      </w:pPr>
      <w:r>
        <w:rPr>
          <w:rFonts w:hint="eastAsia" w:ascii="宋体" w:hAnsi="宋体"/>
          <w:szCs w:val="21"/>
        </w:rPr>
        <w:t xml:space="preserve">17.1乙方不得将合同转包给其他供应商。涉及合同分包的，乙方应根据采购文件和投标（响应）文件规定进行合同分包。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rPr>
      </w:pPr>
      <w:r>
        <w:rPr>
          <w:rFonts w:hint="eastAsia" w:ascii="宋体" w:hAnsi="宋体"/>
          <w:szCs w:val="21"/>
        </w:rPr>
        <w:t xml:space="preserve">17.2乙方执行政府采购政策向中小企业依法分包的，乙方应当按采购文件和投标（响应）文件签订分包意向协议，分包意向协议属于本合同组成部分。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szCs w:val="21"/>
        </w:rPr>
      </w:pPr>
      <w:r>
        <w:rPr>
          <w:rFonts w:hint="eastAsia" w:ascii="宋体" w:hAnsi="宋体"/>
          <w:szCs w:val="21"/>
        </w:rPr>
        <w:t xml:space="preserve">18.1不可抗力是指合同双方不能预见、不能避免且不能克服的客观情况。</w:t>
      </w:r>
      <w:r/>
    </w:p>
    <w:p>
      <w:pPr>
        <w:ind w:firstLine="420"/>
        <w:jc w:val="left"/>
        <w:spacing w:line="400" w:lineRule="exact"/>
        <w:rPr>
          <w:rFonts w:hint="eastAsia" w:ascii="宋体" w:hAnsi="宋体"/>
          <w:szCs w:val="21"/>
        </w:rPr>
      </w:pPr>
      <w:r>
        <w:rPr>
          <w:rFonts w:hint="eastAsia" w:ascii="宋体" w:hAnsi="宋体"/>
          <w:szCs w:val="21"/>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rPr>
      </w:pPr>
      <w:r>
        <w:rPr>
          <w:rFonts w:hint="eastAsia" w:ascii="宋体" w:hAnsi="宋体"/>
          <w:szCs w:val="21"/>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48"/>
        <w:ind w:firstLine="420"/>
        <w:jc w:val="both"/>
        <w:rPr>
          <w:rFonts w:hint="eastAsia" w:ascii="宋体" w:hAnsi="宋体" w:eastAsia="宋体" w:cs="宋体"/>
          <w:sz w:val="21"/>
        </w:rPr>
      </w:pPr>
      <w:r>
        <w:rPr>
          <w:rFonts w:hint="eastAsia" w:ascii="宋体" w:hAnsi="宋体" w:eastAsia="宋体" w:cs="宋体"/>
          <w:sz w:val="21"/>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48"/>
        <w:ind w:firstLine="420"/>
        <w:jc w:val="both"/>
        <w:rPr>
          <w:rFonts w:hint="eastAsia" w:ascii="宋体" w:hAnsi="宋体" w:eastAsia="宋体" w:cs="宋体"/>
          <w:sz w:val="21"/>
        </w:rPr>
      </w:pPr>
      <w:r>
        <w:rPr>
          <w:rFonts w:hint="eastAsia" w:ascii="宋体" w:hAnsi="宋体" w:eastAsia="宋体" w:cs="宋体"/>
          <w:sz w:val="21"/>
        </w:rPr>
        <w:t xml:space="preserve">19.2选择仲裁的，应在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8"/>
        <w:ind w:firstLine="420"/>
        <w:jc w:val="both"/>
        <w:rPr>
          <w:rFonts w:hint="eastAsia" w:ascii="宋体" w:hAnsi="宋体" w:eastAsia="宋体" w:cs="宋体"/>
          <w:sz w:val="21"/>
        </w:rPr>
      </w:pPr>
      <w:r>
        <w:rPr>
          <w:rFonts w:hint="eastAsia" w:ascii="宋体" w:hAnsi="宋体" w:eastAsia="宋体" w:cs="宋体"/>
          <w:sz w:val="21"/>
        </w:rPr>
        <w:t xml:space="preserve">19.3如甲乙双方有争议的事项不影响合同其他部分的履行，在争议解决期间，合同其他部分应当继续履行。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szCs w:val="21"/>
        </w:rPr>
      </w:pPr>
      <w:r>
        <w:rPr>
          <w:rFonts w:hint="eastAsia" w:ascii="宋体" w:hAnsi="宋体"/>
          <w:szCs w:val="21"/>
        </w:rPr>
        <w:t xml:space="preserve">20.1</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szCs w:val="21"/>
        </w:rPr>
      </w:pPr>
      <w:r>
        <w:rPr>
          <w:rFonts w:hint="eastAsia" w:ascii="宋体" w:hAnsi="宋体"/>
          <w:szCs w:val="21"/>
        </w:rPr>
        <w:t xml:space="preserve">20.2本合同依法执行政府采购政策的方式和内容，属于合同履约验收的范围。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771"/>
        <w:ind w:firstLine="420"/>
        <w:spacing w:after="0" w:line="400" w:lineRule="exact"/>
      </w:pPr>
      <w:r>
        <w:rPr>
          <w:rFonts w:hint="eastAsia" w:ascii="宋体" w:hAnsi="宋体"/>
          <w:szCs w:val="21"/>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48"/>
        <w:ind w:firstLine="420"/>
        <w:jc w:val="both"/>
        <w:rPr>
          <w:rFonts w:hint="eastAsia" w:ascii="宋体" w:hAnsi="宋体" w:eastAsia="宋体" w:cs="宋体"/>
          <w:sz w:val="21"/>
        </w:rPr>
      </w:pPr>
      <w:r>
        <w:rPr>
          <w:rFonts w:hint="eastAsia" w:ascii="宋体" w:hAnsi="宋体" w:eastAsia="宋体" w:cs="宋体"/>
          <w:sz w:val="21"/>
        </w:rPr>
        <w:t xml:space="preserve">21.1本合同的订立、生效、解释、履行及与本合同有关的争议解决，均适用法律、行政法规。</w:t>
      </w:r>
      <w:r/>
    </w:p>
    <w:p>
      <w:pPr>
        <w:pStyle w:val="948"/>
        <w:ind w:firstLine="420"/>
        <w:jc w:val="both"/>
        <w:rPr>
          <w:rFonts w:hint="eastAsia"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rPr>
      </w:pPr>
      <w:r>
        <w:rPr>
          <w:rFonts w:hint="eastAsia" w:ascii="宋体" w:hAnsi="宋体"/>
          <w:b/>
          <w:sz w:val="24"/>
        </w:rPr>
        <w:t xml:space="preserve">22. 通知</w:t>
      </w:r>
      <w:r/>
    </w:p>
    <w:p>
      <w:pPr>
        <w:pStyle w:val="948"/>
        <w:ind w:firstLine="420"/>
        <w:jc w:val="both"/>
        <w:rPr>
          <w:rFonts w:hint="eastAsia" w:ascii="宋体" w:hAnsi="宋体" w:eastAsia="宋体" w:cs="宋体"/>
          <w:sz w:val="21"/>
        </w:rPr>
      </w:pPr>
      <w:r>
        <w:rPr>
          <w:rFonts w:hint="eastAsia" w:ascii="宋体" w:hAnsi="宋体" w:eastAsia="宋体" w:cs="宋体"/>
          <w:sz w:val="21"/>
        </w:rPr>
        <w:t xml:space="preserve">22.1本合同任何一方向对方发出的通知、信件、数据电文等，应当发送至本合同第一部分《政府采购合同协议书》所约定的通讯地址、联系人、联系电话或电子邮箱。</w:t>
      </w:r>
      <w:r/>
    </w:p>
    <w:p>
      <w:pPr>
        <w:pStyle w:val="948"/>
        <w:ind w:firstLine="0"/>
        <w:jc w:val="both"/>
        <w:rPr>
          <w:rFonts w:hint="eastAsia"/>
          <w:sz w:val="21"/>
        </w:rPr>
      </w:pPr>
      <w:r>
        <w:rPr>
          <w:rFonts w:hint="eastAsia" w:ascii="宋体" w:hAnsi="宋体" w:eastAsia="宋体" w:cs="宋体"/>
          <w:sz w:val="21"/>
        </w:rPr>
        <w:t xml:space="preserve">    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Pr>
      <w:r>
        <w:rPr>
          <w:rFonts w:hint="eastAsia" w:ascii="宋体" w:hAnsi="宋体"/>
          <w:bCs/>
          <w:szCs w:val="21"/>
        </w:rPr>
        <w:t xml:space="preserve">    23.2合同附件与合同正文具有同等的法律效力。</w:t>
      </w:r>
      <w:r/>
      <w:r>
        <w:rPr>
          <w:rFonts w:hint="eastAsia" w:ascii="黑体" w:hAnsi="华文中宋" w:eastAsia="黑体"/>
          <w:sz w:val="24"/>
        </w:rPr>
        <w:br w:type="page" w:clear="all"/>
      </w:r>
      <w:r/>
      <w:r>
        <w:rPr>
          <w:rFonts w:hint="eastAsia" w:ascii="黑体" w:hAnsi="华文中宋" w:eastAsia="黑体"/>
          <w:sz w:val="28"/>
          <w:szCs w:val="28"/>
        </w:rPr>
      </w:r>
    </w:p>
    <w:p>
      <w:pPr>
        <w:jc w:val="center"/>
        <w:keepLines/>
        <w:keepNext/>
        <w:spacing w:line="360" w:lineRule="auto"/>
        <w:rPr>
          <w:rFonts w:hint="eastAsia" w:ascii="黑体" w:hAnsi="华文中宋" w:eastAsia="黑体"/>
          <w:sz w:val="24"/>
        </w:rPr>
        <w:outlineLvl w:val="1"/>
      </w:pPr>
      <w:r>
        <w:rPr>
          <w:rFonts w:hint="eastAsia" w:ascii="黑体" w:hAnsi="华文中宋" w:eastAsia="黑体"/>
          <w:sz w:val="24"/>
        </w:rPr>
        <w:t xml:space="preserve">第三节 政府采购合同专用条款</w:t>
      </w:r>
      <w:bookmarkEnd w:id="196"/>
      <w:r/>
      <w:r/>
    </w:p>
    <w:tbl>
      <w:tblPr>
        <w:tblStyle w:val="767"/>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0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cantSplit/>
          <w:trHeight w:val="667"/>
        </w:trPr>
        <w:tc>
          <w:tcPr>
            <w:tcW w:w="1560" w:type="dxa"/>
            <w:vAlign w:val="center"/>
            <w:vMerge w:val="restart"/>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sz w:val="24"/>
              </w:rPr>
            </w:pPr>
            <w:r>
              <w:rPr>
                <w:rFonts w:hint="eastAsia"/>
                <w:sz w:val="24"/>
              </w:rPr>
              <w:t xml:space="preserve">1.商品包装层数不得超过3 层，空隙率不大于40%；</w:t>
            </w:r>
            <w:r/>
          </w:p>
          <w:p>
            <w:pPr>
              <w:rPr>
                <w:sz w:val="24"/>
              </w:rPr>
            </w:pPr>
            <w:r>
              <w:rPr>
                <w:rFonts w:hint="eastAsia"/>
                <w:sz w:val="24"/>
              </w:rPr>
              <w:t xml:space="preserve">2.商品包装尽可能使用单一材质的包装材料，如因功能需求必需使用不同材质，不同材质间应便于分离；</w:t>
            </w:r>
            <w:r/>
          </w:p>
          <w:p>
            <w:pPr>
              <w:rPr>
                <w:sz w:val="24"/>
              </w:rPr>
            </w:pPr>
            <w:r>
              <w:rPr>
                <w:rFonts w:hint="eastAsia"/>
                <w:sz w:val="24"/>
              </w:rPr>
              <w:t xml:space="preserve">3.商品包装中铅、汞、镉、六价铬的总含量应不大于100mg/kg；</w:t>
            </w:r>
            <w:r/>
          </w:p>
          <w:p>
            <w:pPr>
              <w:rPr>
                <w:sz w:val="24"/>
              </w:rPr>
            </w:pPr>
            <w:r>
              <w:rPr>
                <w:rFonts w:hint="eastAsia"/>
                <w:sz w:val="24"/>
              </w:rPr>
              <w:t xml:space="preserve">4.商品包装印刷使用的油墨中挥发性有机化合物(VOCs)含量应不大于 5%（以重量计）；</w:t>
            </w:r>
            <w:r/>
          </w:p>
          <w:p>
            <w:pPr>
              <w:rPr>
                <w:sz w:val="24"/>
              </w:rPr>
            </w:pPr>
            <w:r>
              <w:rPr>
                <w:rFonts w:hint="eastAsia"/>
                <w:sz w:val="24"/>
              </w:rPr>
              <w:t xml:space="preserve">5.塑料材质商品包装上呈现的印刷颜色不得超过6色；</w:t>
            </w:r>
            <w:r/>
          </w:p>
          <w:p>
            <w:pPr>
              <w:rPr>
                <w:sz w:val="24"/>
              </w:rPr>
            </w:pPr>
            <w:r>
              <w:rPr>
                <w:rFonts w:hint="eastAsia"/>
                <w:sz w:val="24"/>
              </w:rPr>
              <w:t xml:space="preserve">6.纸质商品包装应使用75%以上的可再生纤维原料生产；</w:t>
            </w:r>
            <w:r/>
          </w:p>
          <w:p>
            <w:pPr>
              <w:rPr>
                <w:sz w:val="24"/>
              </w:rPr>
            </w:pPr>
            <w:r>
              <w:rPr>
                <w:rFonts w:hint="eastAsia"/>
                <w:sz w:val="24"/>
              </w:rPr>
              <w:t xml:space="preserve">7.木质商品包装的原料应来源于可持续性森林。</w:t>
            </w:r>
            <w:r/>
          </w:p>
          <w:p>
            <w:pPr>
              <w:rPr>
                <w:sz w:val="24"/>
              </w:rPr>
            </w:pPr>
            <w:r>
              <w:rPr>
                <w:rFonts w:hint="eastAsia"/>
                <w:sz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sz w:val="24"/>
              </w:rPr>
            </w:r>
            <w:r/>
          </w:p>
        </w:tc>
      </w:tr>
      <w:tr>
        <w:trPr>
          <w:trHeight w:val="772"/>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1.货物验收合格、交付使用并提供所需单据的日期视为交货日期。</w:t>
            </w:r>
            <w:r/>
          </w:p>
          <w:p>
            <w:pPr>
              <w:pStyle w:val="948"/>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2.乙方在货物发运手续办理完毕后24小时内或货到48小时前通知甲方，以准备接货。（具体时间根据双方实际需求调整）</w:t>
            </w:r>
            <w:r/>
          </w:p>
          <w:p>
            <w:pPr>
              <w:rPr>
                <w:sz w:val="24"/>
              </w:rPr>
            </w:pPr>
            <w:r>
              <w:rPr>
                <w:rFonts w:hint="eastAsia"/>
                <w:sz w:val="24"/>
              </w:rPr>
              <w:t xml:space="preserve">3.乙方装运的货物不应超过合同规定的数量或重量。乙方应对超交数量或超重而产生的一切后果负责。</w:t>
            </w:r>
            <w:r/>
          </w:p>
          <w:p>
            <w:pPr>
              <w:pStyle w:val="948"/>
              <w:ind w:firstLine="0"/>
              <w:rPr>
                <w:rFonts w:hint="eastAsia"/>
              </w:rPr>
            </w:pPr>
            <w:r>
              <w:rPr>
                <w:rFonts w:hint="eastAsia" w:ascii="Times New Roman" w:hAnsi="Times New Roman" w:eastAsia="宋体" w:cs="Times New Roman"/>
                <w:sz w:val="24"/>
                <w:szCs w:val="24"/>
              </w:rPr>
              <w:t xml:space="preserve">4.货物在交付甲方前发生的风险均由乙方负责。</w:t>
            </w:r>
            <w:r/>
          </w:p>
        </w:tc>
      </w:tr>
      <w:tr>
        <w:trPr>
          <w:trHeight w:val="66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788"/>
              <w:jc w:val="both"/>
              <w:spacing w:before="120" w:beforeAutospacing="0" w:after="120" w:afterAutospacing="0"/>
              <w:rPr>
                <w:rFonts w:hint="eastAsia" w:ascii="宋体" w:hAnsi="宋体"/>
              </w:rPr>
            </w:pPr>
            <w:r>
              <w:rPr>
                <w:rFonts w:hint="eastAsia" w:ascii="宋体" w:hAnsi="宋体"/>
              </w:rPr>
              <w:t xml:space="preserve">1.货物免费质保期三年。（</w:t>
            </w:r>
            <w:r>
              <w:rPr>
                <w:rFonts w:hint="eastAsia" w:ascii="宋体" w:hAnsi="宋体" w:cs="宋体"/>
              </w:rPr>
              <w:t xml:space="preserve">自交货验收合格之日起计），因人为因素出现的故障不在免费保修范围内。超过保修期的机器设备，终生维修，维修时只收部件成本费。</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货物质量缺陷</w:t>
            </w:r>
            <w:r/>
          </w:p>
          <w:p>
            <w:pPr>
              <w:jc w:val="left"/>
              <w:rPr>
                <w:rFonts w:hint="eastAsia"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如在使用过程中发生质量问题，乙方在接到甲方通知后在</w:t>
            </w:r>
            <w:r>
              <w:rPr>
                <w:rFonts w:hint="eastAsia" w:ascii="宋体" w:hAnsi="宋体"/>
                <w:sz w:val="24"/>
                <w:u w:val="single"/>
              </w:rPr>
              <w:t xml:space="preserve">2</w:t>
            </w:r>
            <w:r>
              <w:rPr>
                <w:rFonts w:hint="eastAsia" w:ascii="宋体" w:hAnsi="宋体"/>
                <w:sz w:val="24"/>
              </w:rPr>
              <w:t xml:space="preserve">小时内到达甲方现场。</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在质保期内，乙方应对货物出现的质量及安全问题负责处理解决并承担一切费用.2.乙方应按照国家有关法律法规规章和“三包”规定以及招标文件售后服务要求及投标文件售后服务承诺提供售后服务。</w:t>
            </w:r>
            <w:r/>
          </w:p>
          <w:p>
            <w:pPr>
              <w:jc w:val="left"/>
              <w:rPr>
                <w:rFonts w:hint="eastAsia" w:ascii="宋体" w:hAnsi="宋体"/>
                <w:sz w:val="24"/>
              </w:rPr>
            </w:pPr>
            <w:r>
              <w:rPr>
                <w:rFonts w:hint="eastAsia" w:ascii="宋体" w:hAnsi="宋体"/>
                <w:sz w:val="24"/>
              </w:rPr>
              <w:t xml:space="preserve">3.所有货物保修服务方式均为乙方上门保修，由乙方派员到货物使用现场维修，所产生的一切费用由乙方承担。</w:t>
            </w:r>
            <w:r/>
          </w:p>
          <w:p>
            <w:pPr>
              <w:jc w:val="left"/>
              <w:rPr>
                <w:rFonts w:hint="eastAsia"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88"/>
              <w:ind w:left="480" w:hanging="480"/>
              <w:spacing w:before="120" w:beforeAutospacing="0" w:after="120" w:afterAutospacing="0"/>
              <w:rPr>
                <w:rFonts w:hint="eastAsia"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hint="eastAsia"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1.合同款项的支付方式及进度安排：</w:t>
            </w:r>
            <w:r/>
          </w:p>
          <w:p>
            <w:pPr>
              <w:jc w:val="left"/>
              <w:rPr>
                <w:rFonts w:hint="eastAsia" w:ascii="宋体" w:hAnsi="宋体"/>
                <w:sz w:val="24"/>
                <w:u w:val="single"/>
              </w:rPr>
            </w:pPr>
            <w:r>
              <w:rPr>
                <w:rFonts w:hint="eastAsia" w:ascii="宋体" w:hAnsi="宋体"/>
                <w:sz w:val="24"/>
                <w:u w:val="single"/>
              </w:rPr>
              <w:t xml:space="preserve">合同签订后付至合同价的30%作为预付款，项目全部完成验收合格交付使用后付至合同价的40%，自验收合格之日起，满一年付至审定价的70%，满二年付至审定价的95%，剩余部分质保期满结清。其中涉及预付款的：合同签订后付至合同价的30%作为预付款（合同签订时，供应商明确表示无需预付款或者主动要求降低预付款比例的由双方另行商定。）</w:t>
            </w:r>
            <w:r/>
          </w:p>
          <w:p>
            <w:pPr>
              <w:jc w:val="left"/>
              <w:rPr>
                <w:rFonts w:hint="eastAsia"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sz w:val="24"/>
              </w:rPr>
            </w:pPr>
            <w:r>
              <w:rPr>
                <w:rFonts w:hint="eastAsia" w:ascii="宋体" w:hAnsi="宋体"/>
                <w:sz w:val="24"/>
              </w:rPr>
              <w:t xml:space="preserve">(1) 发票；</w:t>
            </w:r>
            <w:r/>
          </w:p>
          <w:p>
            <w:pPr>
              <w:jc w:val="left"/>
              <w:rPr>
                <w:sz w:val="24"/>
              </w:rPr>
            </w:pPr>
            <w:r>
              <w:rPr>
                <w:rFonts w:hint="eastAsia" w:ascii="宋体" w:hAnsi="宋体"/>
                <w:sz w:val="24"/>
              </w:rPr>
              <w:t xml:space="preserve">(</w:t>
            </w:r>
            <w:r>
              <w:rPr>
                <w:rFonts w:hint="eastAsia" w:ascii="宋体" w:hAnsi="宋体"/>
                <w:sz w:val="24"/>
                <w:lang w:val="en-US" w:eastAsia="zh-CN"/>
              </w:rPr>
              <w:t xml:space="preserve">2</w:t>
            </w:r>
            <w:r>
              <w:rPr>
                <w:rFonts w:hint="eastAsia" w:ascii="宋体" w:hAnsi="宋体"/>
                <w:sz w:val="24"/>
              </w:rPr>
              <w:t xml:space="preserve">) 甲方加盖公章证明交付使用合格的验收单。</w:t>
            </w:r>
            <w:r/>
          </w:p>
        </w:tc>
      </w:tr>
      <w:tr>
        <w:trPr>
          <w:trHeight w:val="697"/>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hint="eastAsia"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hint="eastAsia" w:ascii="宋体" w:hAnsi="宋体" w:cs="宋体"/>
                <w:sz w:val="24"/>
              </w:rPr>
            </w:pPr>
            <w:r>
              <w:rPr>
                <w:rFonts w:hint="eastAsia" w:ascii="宋体" w:hAnsi="宋体" w:cs="宋体"/>
                <w:sz w:val="24"/>
              </w:rPr>
              <w:t xml:space="preserve">（2）中标人不履行与采购人订立的合同的；</w:t>
            </w:r>
            <w:r/>
          </w:p>
          <w:p>
            <w:pPr>
              <w:spacing w:line="360" w:lineRule="auto"/>
              <w:rPr>
                <w:rFonts w:hint="eastAsia"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hint="eastAsia" w:ascii="宋体" w:hAnsi="宋体" w:cs="宋体"/>
                <w:sz w:val="24"/>
              </w:rPr>
            </w:pPr>
            <w:r>
              <w:rPr>
                <w:rFonts w:hint="eastAsia" w:ascii="宋体" w:hAnsi="宋体" w:cs="宋体"/>
                <w:sz w:val="24"/>
              </w:rPr>
              <w:t xml:space="preserve">（4）中标人采取欺骗、弄虚作假方式投标的或与其它投标人串通投标的；</w:t>
            </w:r>
            <w:r/>
          </w:p>
          <w:p>
            <w:pPr>
              <w:spacing w:line="360" w:lineRule="auto"/>
              <w:rPr>
                <w:rFonts w:hint="eastAsia" w:ascii="宋体" w:hAnsi="宋体" w:cs="宋体"/>
                <w:sz w:val="24"/>
              </w:rPr>
            </w:pPr>
            <w:r>
              <w:rPr>
                <w:rFonts w:hint="eastAsia" w:ascii="宋体" w:hAnsi="宋体" w:cs="宋体"/>
                <w:sz w:val="24"/>
              </w:rPr>
              <w:t xml:space="preserve">（5）中标人将合同内容转包、违法分包的；</w:t>
            </w:r>
            <w:r/>
          </w:p>
          <w:p>
            <w:pPr>
              <w:spacing w:line="360" w:lineRule="auto"/>
              <w:rPr>
                <w:rFonts w:hint="eastAsia"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hint="eastAsia"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hint="eastAsia"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hint="eastAsia"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hint="eastAsia"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84"/>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8"/>
              </w:numPr>
              <w:jc w:val="left"/>
              <w:rPr>
                <w:rFonts w:hint="eastAsia"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8"/>
              </w:numPr>
              <w:jc w:val="left"/>
              <w:rPr>
                <w:rFonts w:hint="eastAsia"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1.乙方应按照“开标（报价）一览表”中规定的交货期或承诺交货和提供服务，并交付甲方验收使用。</w:t>
            </w:r>
            <w:r/>
          </w:p>
          <w:p>
            <w:pPr>
              <w:jc w:val="left"/>
              <w:rPr>
                <w:rFonts w:hint="eastAsia" w:ascii="宋体" w:hAnsi="宋体"/>
                <w:sz w:val="24"/>
              </w:rPr>
            </w:pPr>
            <w:r>
              <w:rPr>
                <w:rFonts w:hint="eastAsia" w:ascii="宋体" w:hAnsi="宋体"/>
                <w:sz w:val="24"/>
              </w:rPr>
              <w:t xml:space="preserve">2.如果乙方无正当理由拖延交货，将受到以下制裁：加收误期赔偿或终止合同。</w:t>
            </w:r>
            <w:r/>
          </w:p>
          <w:p>
            <w:pPr>
              <w:jc w:val="left"/>
              <w:rPr>
                <w:rFonts w:hint="eastAsia" w:ascii="宋体" w:hAnsi="宋体"/>
                <w:sz w:val="24"/>
              </w:rPr>
            </w:pPr>
            <w:r>
              <w:rPr>
                <w:rFonts w:hint="eastAsia" w:ascii="宋体" w:hAnsi="宋体"/>
                <w:sz w:val="24"/>
              </w:rPr>
              <w:t xml:space="preserve">3. 乙方逾期交付货物的，乙方应按逾期交货总额每日</w:t>
            </w:r>
            <w:r>
              <w:rPr>
                <w:rFonts w:hint="eastAsia" w:ascii="宋体" w:hAnsi="宋体"/>
                <w:sz w:val="24"/>
                <w:u w:val="single"/>
              </w:rPr>
              <w:t xml:space="preserve">千分之五</w:t>
            </w:r>
            <w:r>
              <w:rPr>
                <w:rFonts w:hint="eastAsia" w:ascii="宋体" w:hAnsi="宋体"/>
                <w:sz w:val="24"/>
              </w:rPr>
              <w:t xml:space="preserve">向甲方支付违约金，由甲方从待付货款中扣除。逾期超过约定日期</w:t>
            </w:r>
            <w:r>
              <w:rPr>
                <w:rFonts w:hint="eastAsia" w:ascii="宋体" w:hAnsi="宋体"/>
                <w:sz w:val="24"/>
                <w:u w:val="single"/>
              </w:rPr>
              <w:t xml:space="preserve">10</w:t>
            </w:r>
            <w:r>
              <w:rPr>
                <w:rFonts w:hint="eastAsia" w:ascii="宋体" w:hAnsi="宋体"/>
                <w:sz w:val="24"/>
              </w:rPr>
              <w:t xml:space="preserve">个工作日不能交货的，甲方可解除本合同。乙方因逾期交货或因其他违约行为导致甲方解除合同的，乙方应向甲方支付合同总值</w:t>
            </w:r>
            <w:r>
              <w:rPr>
                <w:rFonts w:hint="eastAsia" w:ascii="宋体" w:hAnsi="宋体"/>
                <w:sz w:val="24"/>
                <w:u w:val="single"/>
              </w:rPr>
              <w:t xml:space="preserve">5%</w:t>
            </w:r>
            <w:r>
              <w:rPr>
                <w:rFonts w:hint="eastAsia" w:ascii="宋体" w:hAnsi="宋体"/>
                <w:sz w:val="24"/>
              </w:rPr>
              <w:t xml:space="preserve">的违约金，如造成甲方损失超过违约金的，超出部分由乙方继续承担赔偿责任。 </w:t>
            </w:r>
            <w:r/>
          </w:p>
          <w:p>
            <w:pPr>
              <w:jc w:val="left"/>
              <w:rPr>
                <w:rFonts w:hint="eastAsia" w:ascii="宋体" w:hAnsi="宋体"/>
                <w:sz w:val="24"/>
              </w:rPr>
            </w:pPr>
            <w:r>
              <w:rPr>
                <w:rFonts w:hint="eastAsia" w:ascii="宋体" w:hAnsi="宋体"/>
                <w:sz w:val="24"/>
              </w:rPr>
              <w:t xml:space="preserve">4.如乙方不能交付货物，或者有违法转包他人情形，乙方应向甲方支付合同总价</w:t>
            </w:r>
            <w:r>
              <w:rPr>
                <w:rFonts w:hint="eastAsia" w:ascii="宋体" w:hAnsi="宋体"/>
                <w:sz w:val="24"/>
                <w:u w:val="single"/>
              </w:rPr>
              <w:t xml:space="preserve">5%</w:t>
            </w:r>
            <w:r>
              <w:rPr>
                <w:rFonts w:hint="eastAsia" w:ascii="宋体" w:hAnsi="宋体"/>
                <w:sz w:val="24"/>
              </w:rPr>
              <w:t xml:space="preserve">的滞纳金。</w:t>
            </w:r>
            <w:r/>
          </w:p>
          <w:p>
            <w:pPr>
              <w:jc w:val="left"/>
              <w:rPr>
                <w:rFonts w:hint="eastAsia" w:ascii="宋体" w:hAnsi="宋体"/>
                <w:sz w:val="24"/>
                <w:u w:val="single"/>
              </w:rPr>
            </w:pPr>
            <w:r>
              <w:rPr>
                <w:rFonts w:hint="eastAsia" w:ascii="宋体" w:hAnsi="宋体"/>
                <w:sz w:val="24"/>
                <w:u w:val="single"/>
              </w:rPr>
            </w:r>
            <w:r/>
          </w:p>
        </w:tc>
      </w:tr>
      <w:tr>
        <w:trPr>
          <w:trHeight w:val="736"/>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788"/>
              <w:jc w:val="both"/>
              <w:spacing w:before="120" w:beforeAutospacing="0" w:after="120" w:afterAutospacing="0"/>
            </w:pPr>
            <w:r>
              <w:rPr>
                <w:rFonts w:hint="eastAsia" w:ascii="宋体" w:hAnsi="宋体" w:cs="宋体"/>
              </w:rPr>
              <w:t xml:space="preserve">1.甲方无正当理由拒收货物的，甲方向乙方偿付拒收货款总值</w:t>
            </w:r>
            <w:r>
              <w:rPr>
                <w:rFonts w:hint="eastAsia" w:ascii="宋体" w:hAnsi="宋体" w:cs="宋体"/>
                <w:u w:val="single"/>
              </w:rPr>
              <w:t xml:space="preserve">  /  </w:t>
            </w:r>
            <w:r>
              <w:rPr>
                <w:rFonts w:hint="eastAsia" w:ascii="宋体" w:hAnsi="宋体" w:cs="宋体"/>
              </w:rPr>
              <w:t xml:space="preserve">的违约金。</w:t>
            </w:r>
            <w:r/>
          </w:p>
          <w:p>
            <w:pPr>
              <w:pStyle w:val="788"/>
              <w:jc w:val="both"/>
              <w:spacing w:before="120" w:beforeAutospacing="0" w:after="120" w:afterAutospacing="0"/>
              <w:rPr>
                <w:rFonts w:hint="eastAsia" w:ascii="宋体" w:hAnsi="宋体"/>
                <w:u w:val="single"/>
              </w:rPr>
            </w:pPr>
            <w:r>
              <w:rPr>
                <w:rFonts w:hint="eastAsia" w:ascii="宋体" w:hAnsi="宋体" w:cs="宋体"/>
              </w:rPr>
              <w:t xml:space="preserve">2.甲方无故逾期验收和办理货款支付手续的,甲方应按逾期付款总额每日</w:t>
            </w:r>
            <w:r>
              <w:rPr>
                <w:rFonts w:hint="eastAsia" w:ascii="宋体" w:hAnsi="宋体" w:cs="宋体"/>
                <w:u w:val="single"/>
              </w:rPr>
              <w:t xml:space="preserve">  /  </w:t>
            </w:r>
            <w:r>
              <w:rPr>
                <w:rFonts w:hint="eastAsia" w:ascii="宋体" w:hAnsi="宋体" w:cs="宋体"/>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sz w:val="24"/>
                <w:u w:val="single"/>
              </w:rPr>
            </w:pPr>
            <w:r>
              <w:rPr>
                <w:rFonts w:hint="eastAsia" w:ascii="宋体" w:hAnsi="宋体"/>
                <w:sz w:val="24"/>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hint="eastAsia"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hint="eastAsia"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2</w:t>
            </w:r>
            <w:r>
              <w:rPr>
                <w:rFonts w:hint="eastAsia" w:ascii="宋体" w:hAnsi="宋体"/>
                <w:sz w:val="24"/>
              </w:rPr>
              <w:t xml:space="preserve">种方式解决：</w:t>
            </w:r>
            <w:r/>
          </w:p>
          <w:p>
            <w:pPr>
              <w:jc w:val="left"/>
              <w:rPr>
                <w:rFonts w:hint="eastAsia"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响水县</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（2）向甲方所在地人民法院起诉。</w:t>
            </w:r>
            <w:r/>
          </w:p>
          <w:p>
            <w:pPr>
              <w:jc w:val="left"/>
              <w:rPr>
                <w:rFonts w:hint="eastAsia" w:ascii="宋体" w:hAnsi="宋体"/>
                <w:sz w:val="24"/>
              </w:rPr>
            </w:pPr>
            <w:r>
              <w:rPr>
                <w:rFonts w:hint="eastAsia" w:ascii="宋体" w:hAnsi="宋体"/>
                <w:sz w:val="24"/>
              </w:rPr>
              <w:t xml:space="preserve">2. 纠纷解决办法</w:t>
            </w:r>
            <w:r/>
          </w:p>
          <w:p>
            <w:pPr>
              <w:jc w:val="left"/>
              <w:rPr>
                <w:rFonts w:hint="eastAsia"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t xml:space="preserve">第二节</w:t>
            </w:r>
            <w:r/>
          </w:p>
          <w:p>
            <w:pPr>
              <w:jc w:val="center"/>
              <w:rPr>
                <w:rFonts w:hint="eastAsia"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hint="eastAsia"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hint="eastAsia"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hint="eastAsia"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7</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5</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hint="eastAsia" w:ascii="宋体" w:hAnsi="宋体"/>
                <w:sz w:val="24"/>
              </w:rPr>
            </w:pPr>
            <w:r>
              <w:rPr>
                <w:rFonts w:hint="eastAsia" w:ascii="宋体" w:hAnsi="宋体"/>
                <w:sz w:val="24"/>
              </w:rPr>
              <w:t xml:space="preserve">4.货物验收要求</w:t>
            </w:r>
            <w:r/>
          </w:p>
          <w:p>
            <w:pPr>
              <w:jc w:val="left"/>
              <w:rPr>
                <w:rFonts w:hint="eastAsia"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hint="eastAsia"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hint="eastAsia"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hint="eastAsia" w:ascii="宋体" w:hAnsi="宋体"/>
                <w:sz w:val="24"/>
              </w:rPr>
            </w:pPr>
            <w:r>
              <w:rPr>
                <w:rFonts w:hint="eastAsia" w:ascii="宋体" w:hAnsi="宋体"/>
                <w:sz w:val="24"/>
              </w:rPr>
              <w:t xml:space="preserve">（4）乙方应按照本合同规定的时间、地点和方式向乙方交付货物。</w:t>
            </w:r>
            <w:r/>
          </w:p>
          <w:p>
            <w:pPr>
              <w:jc w:val="left"/>
              <w:rPr>
                <w:rFonts w:hint="eastAsia" w:ascii="宋体" w:hAnsi="宋体"/>
                <w:sz w:val="24"/>
              </w:rPr>
            </w:pPr>
            <w:r>
              <w:rPr>
                <w:rFonts w:hint="eastAsia" w:ascii="宋体" w:hAnsi="宋体"/>
                <w:sz w:val="24"/>
              </w:rPr>
              <w:t xml:space="preserve">供货期限：</w:t>
            </w:r>
            <w:r>
              <w:rPr>
                <w:rFonts w:hint="eastAsia" w:ascii="宋体" w:hAnsi="宋体"/>
                <w:sz w:val="24"/>
                <w:u w:val="single"/>
              </w:rPr>
              <w:t xml:space="preserve">合同签订后90个日历天完成供货（安装）并交付使用。</w:t>
            </w:r>
            <w:r/>
          </w:p>
          <w:p>
            <w:pPr>
              <w:jc w:val="left"/>
              <w:rPr>
                <w:rFonts w:hint="eastAsia" w:ascii="宋体" w:hAnsi="宋体"/>
                <w:sz w:val="24"/>
              </w:rPr>
            </w:pPr>
            <w:r>
              <w:rPr>
                <w:rFonts w:hint="eastAsia" w:ascii="宋体" w:hAnsi="宋体"/>
                <w:sz w:val="24"/>
              </w:rPr>
              <w:t xml:space="preserve">供货地点：</w:t>
            </w:r>
            <w:r>
              <w:rPr>
                <w:rFonts w:hint="eastAsia" w:ascii="宋体" w:hAnsi="宋体"/>
                <w:sz w:val="24"/>
                <w:u w:val="single"/>
              </w:rPr>
              <w:t xml:space="preserve">甲方指定地点</w:t>
            </w:r>
            <w:r>
              <w:rPr>
                <w:rFonts w:hint="eastAsia" w:ascii="宋体" w:hAnsi="宋体"/>
                <w:sz w:val="24"/>
              </w:rPr>
              <w:t xml:space="preserve">。</w:t>
            </w:r>
            <w:r/>
          </w:p>
          <w:p>
            <w:pPr>
              <w:jc w:val="left"/>
              <w:rPr>
                <w:rFonts w:hint="eastAsia" w:ascii="宋体" w:hAnsi="宋体"/>
                <w:sz w:val="24"/>
              </w:rPr>
            </w:pPr>
            <w:r>
              <w:rPr>
                <w:rFonts w:hint="eastAsia" w:ascii="宋体" w:hAnsi="宋体"/>
                <w:sz w:val="24"/>
              </w:rPr>
              <w:t xml:space="preserve">（5）甲方应在全部货物到货安装完毕后的</w:t>
            </w:r>
            <w:r>
              <w:rPr>
                <w:rFonts w:hint="eastAsia" w:ascii="宋体" w:hAnsi="宋体"/>
                <w:sz w:val="24"/>
                <w:u w:val="single"/>
              </w:rPr>
              <w:t xml:space="preserve"> / </w:t>
            </w:r>
            <w:r>
              <w:rPr>
                <w:rFonts w:hint="eastAsia" w:ascii="宋体" w:hAnsi="宋体"/>
                <w:sz w:val="24"/>
              </w:rPr>
              <w:t xml:space="preserve">日内进行验收，验收包括：型号、规格、数量、外观是否完好，安装调试是否合格等。验收合格后甲方应在验收报告上签字盖章，初步验收合格且项目运行满</w:t>
            </w:r>
            <w:r>
              <w:rPr>
                <w:rFonts w:hint="eastAsia" w:ascii="宋体" w:hAnsi="宋体"/>
                <w:sz w:val="24"/>
                <w:u w:val="single"/>
              </w:rPr>
              <w:t xml:space="preserve">   /  </w:t>
            </w:r>
            <w:r>
              <w:rPr>
                <w:rFonts w:hint="eastAsia" w:ascii="宋体" w:hAnsi="宋体"/>
                <w:sz w:val="24"/>
              </w:rPr>
              <w:t xml:space="preserve">个月后，甲方组织对货物的质量及使用状况等进行最终验收。</w:t>
            </w:r>
            <w:r/>
          </w:p>
          <w:p>
            <w:pPr>
              <w:jc w:val="left"/>
              <w:rPr>
                <w:rFonts w:hint="eastAsia"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hint="eastAsia" w:ascii="宋体" w:hAnsi="宋体"/>
                <w:sz w:val="24"/>
              </w:rPr>
            </w:pPr>
            <w:r>
              <w:rPr>
                <w:rFonts w:hint="eastAsia" w:ascii="宋体" w:hAnsi="宋体"/>
                <w:sz w:val="24"/>
              </w:rPr>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hint="eastAsia" w:ascii="宋体" w:hAnsi="宋体"/>
                <w:sz w:val="24"/>
              </w:rPr>
            </w:pPr>
            <w:r>
              <w:rPr>
                <w:rFonts w:hint="eastAsia" w:ascii="宋体" w:hAnsi="宋体"/>
                <w:sz w:val="24"/>
              </w:rPr>
              <w:t xml:space="preserve">2.除第1条规定外，乙方还应提供下列服务：</w:t>
            </w:r>
            <w:r/>
          </w:p>
          <w:p>
            <w:pPr>
              <w:jc w:val="left"/>
              <w:rPr>
                <w:rFonts w:hint="eastAsia"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hint="eastAsia" w:ascii="宋体" w:hAnsi="宋体"/>
                <w:sz w:val="24"/>
              </w:rPr>
            </w:pPr>
            <w:r>
              <w:rPr>
                <w:rFonts w:hint="eastAsia" w:ascii="宋体" w:hAnsi="宋体"/>
                <w:sz w:val="24"/>
              </w:rPr>
              <w:t xml:space="preserve"> (2) 负责货物的开孔，货物的现场安装；</w:t>
            </w:r>
            <w:r/>
          </w:p>
          <w:p>
            <w:pPr>
              <w:jc w:val="left"/>
              <w:rPr>
                <w:rFonts w:hint="eastAsia" w:ascii="宋体" w:hAnsi="宋体"/>
                <w:sz w:val="24"/>
              </w:rPr>
            </w:pPr>
            <w:r>
              <w:rPr>
                <w:rFonts w:hint="eastAsia" w:ascii="宋体" w:hAnsi="宋体"/>
                <w:sz w:val="24"/>
              </w:rPr>
              <w:t xml:space="preserve"> (3) 提供货物组装和维修所需的工具；</w:t>
            </w:r>
            <w:r/>
          </w:p>
          <w:p>
            <w:pPr>
              <w:jc w:val="left"/>
              <w:rPr>
                <w:rFonts w:hint="eastAsia"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hint="eastAsia" w:ascii="宋体" w:hAnsi="宋体"/>
                <w:sz w:val="24"/>
              </w:rPr>
            </w:pPr>
            <w:r>
              <w:rPr>
                <w:rFonts w:hint="eastAsia" w:ascii="宋体" w:hAnsi="宋体"/>
                <w:sz w:val="24"/>
              </w:rPr>
              <w:t xml:space="preserve"> (5) 在货物交货现场就货物的安装、启用、维护等对甲方人员进行培训。</w:t>
            </w:r>
            <w:r/>
          </w:p>
          <w:p>
            <w:pPr>
              <w:jc w:val="left"/>
              <w:rPr>
                <w:rFonts w:hint="eastAsia"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索赔</w:t>
            </w:r>
            <w:r/>
          </w:p>
          <w:p>
            <w:pPr>
              <w:jc w:val="left"/>
              <w:rPr>
                <w:rFonts w:hint="eastAsia" w:ascii="宋体" w:hAnsi="宋体"/>
                <w:sz w:val="24"/>
              </w:rPr>
            </w:pPr>
            <w:r>
              <w:rPr>
                <w:rFonts w:hint="eastAsia" w:ascii="宋体" w:hAnsi="宋体"/>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1.甲方有权根据当地质检部门出具的检验报告，向乙方提出索赔。</w:t>
            </w:r>
            <w:r/>
          </w:p>
          <w:p>
            <w:pPr>
              <w:jc w:val="left"/>
              <w:rPr>
                <w:rFonts w:hint="eastAsia"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hint="eastAsia"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hint="eastAsia" w:ascii="宋体" w:hAnsi="宋体"/>
                <w:sz w:val="24"/>
              </w:rPr>
            </w:pPr>
            <w:r>
              <w:rPr>
                <w:rFonts w:hint="eastAsia" w:ascii="宋体" w:hAnsi="宋体"/>
                <w:sz w:val="24"/>
              </w:rPr>
            </w:r>
            <w:r/>
          </w:p>
        </w:tc>
        <w:tc>
          <w:tcPr>
            <w:tcW w:w="1789" w:type="dxa"/>
            <w:vAlign w:val="center"/>
            <w:textDirection w:val="lrTb"/>
            <w:noWrap w:val="false"/>
          </w:tcPr>
          <w:p>
            <w:pPr>
              <w:jc w:val="left"/>
              <w:rPr>
                <w:rFonts w:hint="eastAsia" w:ascii="宋体" w:hAnsi="宋体"/>
                <w:sz w:val="24"/>
              </w:rPr>
            </w:pPr>
            <w:r>
              <w:rPr>
                <w:rFonts w:hint="eastAsia" w:ascii="宋体" w:hAnsi="宋体"/>
                <w:sz w:val="24"/>
              </w:rPr>
              <w:t xml:space="preserve">合同生效及其他</w:t>
            </w:r>
            <w:r/>
          </w:p>
          <w:p>
            <w:pPr>
              <w:jc w:val="left"/>
              <w:rPr>
                <w:rFonts w:hint="eastAsia" w:ascii="宋体" w:hAnsi="宋体"/>
                <w:bCs/>
                <w:sz w:val="24"/>
              </w:rPr>
            </w:pPr>
            <w:r>
              <w:rPr>
                <w:rFonts w:hint="eastAsia" w:ascii="宋体" w:hAnsi="宋体"/>
                <w:bCs/>
                <w:sz w:val="24"/>
              </w:rPr>
            </w:r>
            <w:r/>
          </w:p>
        </w:tc>
        <w:tc>
          <w:tcPr>
            <w:tcW w:w="5170" w:type="dxa"/>
            <w:vAlign w:val="center"/>
            <w:textDirection w:val="lrTb"/>
            <w:noWrap w:val="false"/>
          </w:tcPr>
          <w:p>
            <w:pPr>
              <w:jc w:val="left"/>
              <w:rPr>
                <w:rFonts w:hint="eastAsia" w:ascii="宋体" w:hAnsi="宋体"/>
                <w:sz w:val="24"/>
              </w:rPr>
            </w:pPr>
            <w:r>
              <w:rPr>
                <w:rFonts w:hint="eastAsia" w:ascii="宋体" w:hAnsi="宋体"/>
                <w:sz w:val="24"/>
              </w:rPr>
              <w:t xml:space="preserve">1. 合同经甲方、乙方盖章后生效。</w:t>
            </w:r>
            <w:r/>
          </w:p>
          <w:p>
            <w:pPr>
              <w:jc w:val="left"/>
              <w:rPr>
                <w:rFonts w:hint="eastAsia" w:ascii="宋体" w:hAnsi="宋体"/>
                <w:sz w:val="24"/>
              </w:rPr>
            </w:pPr>
            <w:r>
              <w:rPr>
                <w:rFonts w:hint="eastAsia" w:ascii="宋体" w:hAnsi="宋体"/>
                <w:sz w:val="24"/>
              </w:rPr>
              <w:t xml:space="preserve">2. 货物交付使用后所发生的合同纠纷，由甲方与乙方协商处理。</w:t>
            </w:r>
            <w:r/>
          </w:p>
          <w:p>
            <w:pPr>
              <w:jc w:val="left"/>
              <w:rPr>
                <w:rFonts w:hint="eastAsia"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hint="eastAsia" w:ascii="宋体" w:hAnsi="宋体"/>
                <w:sz w:val="24"/>
              </w:rPr>
            </w:pPr>
            <w:r>
              <w:rPr>
                <w:rFonts w:hint="eastAsia" w:ascii="宋体" w:hAnsi="宋体"/>
                <w:sz w:val="24"/>
              </w:rPr>
              <w:t xml:space="preserve">4.本合同应按照中华人民共和国的现行法律进行解释。本合同未尽事宜，遵照《民法典》、《政府采购法》等有关条文执行。</w:t>
            </w:r>
            <w:r/>
          </w:p>
        </w:tc>
      </w:tr>
    </w:tbl>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88"/>
        <w:ind w:firstLine="3080"/>
        <w:spacing w:before="120" w:beforeAutospacing="0" w:after="120" w:afterAutospacing="0" w:line="0" w:lineRule="atLeast"/>
      </w:pPr>
      <w:r>
        <w:rPr>
          <w:rFonts w:hint="eastAsia" w:ascii="黑体" w:hAnsi="宋体" w:eastAsia="黑体" w:cs="黑体"/>
          <w:color w:val="000000"/>
          <w:sz w:val="44"/>
          <w:szCs w:val="44"/>
        </w:rPr>
        <w:t xml:space="preserve">第</w:t>
      </w:r>
      <w:bookmarkEnd w:id="186"/>
      <w:r>
        <w:rPr>
          <w:rFonts w:hint="eastAsia" w:ascii="黑体" w:hAnsi="宋体" w:eastAsia="黑体" w:cs="黑体"/>
          <w:color w:val="000000"/>
          <w:sz w:val="44"/>
          <w:szCs w:val="44"/>
        </w:rPr>
        <w:t xml:space="preserve">四章 采购需求</w:t>
      </w:r>
      <w:bookmarkEnd w:id="187"/>
      <w:r/>
      <w:bookmarkEnd w:id="188"/>
      <w:r/>
      <w:bookmarkEnd w:id="189"/>
      <w:r/>
      <w:bookmarkEnd w:id="190"/>
      <w:r/>
      <w:bookmarkEnd w:id="191"/>
      <w:r/>
      <w:r/>
    </w:p>
    <w:p>
      <w:pPr>
        <w:pStyle w:val="788"/>
        <w:spacing w:beforeAutospacing="0" w:afterAutospacing="0" w:line="0" w:lineRule="atLeast"/>
        <w:rPr>
          <w:rFonts w:hint="eastAsia" w:ascii="宋体" w:hAnsi="宋体" w:eastAsia="宋体" w:cs="宋体"/>
          <w:color w:val="000000"/>
        </w:rPr>
      </w:pPr>
      <w:r/>
      <w:bookmarkStart w:id="198" w:name="_Toc26554093"/>
      <w:r/>
      <w:bookmarkStart w:id="199" w:name="_Toc49090575"/>
      <w:r>
        <w:rPr>
          <w:rFonts w:hint="eastAsia" w:ascii="宋体" w:hAnsi="宋体" w:eastAsia="宋体" w:cs="宋体"/>
          <w:color w:val="000000"/>
        </w:rPr>
        <w:t xml:space="preserve">项目属性：货物类项目。</w:t>
      </w:r>
      <w:bookmarkEnd w:id="198"/>
      <w:r/>
      <w:bookmarkEnd w:id="199"/>
      <w:r/>
      <w:r/>
    </w:p>
    <w:p>
      <w:pPr>
        <w:pStyle w:val="955"/>
        <w:ind w:firstLine="482"/>
        <w:jc w:val="left"/>
        <w:spacing w:before="60" w:after="60" w:line="420" w:lineRule="exact"/>
        <w:widowControl/>
        <w:rPr>
          <w:rFonts w:hint="eastAsia" w:ascii="宋体" w:hAnsi="宋体" w:eastAsia="宋体" w:cs="宋体"/>
          <w:b/>
          <w:bCs/>
          <w:sz w:val="24"/>
        </w:rPr>
      </w:pPr>
      <w:r>
        <w:rPr>
          <w:rFonts w:ascii="宋体" w:hAnsi="宋体" w:eastAsia="宋体" w:cs="宋体"/>
          <w:b/>
          <w:bCs/>
          <w:sz w:val="24"/>
        </w:rPr>
        <w:t xml:space="preserve">一、</w:t>
      </w:r>
      <w:r>
        <w:rPr>
          <w:rFonts w:hint="eastAsia" w:ascii="宋体" w:hAnsi="宋体" w:eastAsia="宋体" w:cs="宋体"/>
          <w:b/>
          <w:bCs/>
          <w:sz w:val="24"/>
        </w:rPr>
        <w:t xml:space="preserve">采购清单</w:t>
      </w:r>
      <w:r/>
    </w:p>
    <w:tbl>
      <w:tblPr>
        <w:tblStyle w:val="7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7"/>
        <w:gridCol w:w="924"/>
        <w:gridCol w:w="4047"/>
        <w:gridCol w:w="428"/>
        <w:gridCol w:w="822"/>
        <w:gridCol w:w="839"/>
        <w:gridCol w:w="1045"/>
      </w:tblGrid>
      <w:tr>
        <w:trPr/>
        <w:tc>
          <w:tcPr>
            <w:gridSpan w:val="7"/>
            <w:tcW w:w="5000" w:type="pct"/>
            <w:vAlign w:val="center"/>
            <w:textDirection w:val="lrTb"/>
            <w:noWrap/>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响水教育局校园安防建设项目</w:t>
            </w:r>
            <w:r/>
          </w:p>
        </w:tc>
      </w:tr>
      <w:tr>
        <w:trPr/>
        <w:tc>
          <w:tcPr>
            <w:tcW w:w="244"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序号</w:t>
            </w:r>
            <w:r/>
          </w:p>
        </w:tc>
        <w:tc>
          <w:tcPr>
            <w:tcW w:w="543"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产品</w:t>
            </w:r>
            <w:r/>
          </w:p>
        </w:tc>
        <w:tc>
          <w:tcPr>
            <w:tcW w:w="237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参数</w:t>
            </w:r>
            <w:r/>
          </w:p>
        </w:tc>
        <w:tc>
          <w:tcPr>
            <w:tcW w:w="251"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单位</w:t>
            </w:r>
            <w:r/>
          </w:p>
        </w:tc>
        <w:tc>
          <w:tcPr>
            <w:tcW w:w="481"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数量</w:t>
            </w:r>
            <w:r/>
          </w:p>
        </w:tc>
        <w:tc>
          <w:tcPr>
            <w:tcW w:w="492"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单价（元）</w:t>
            </w:r>
            <w:r/>
          </w:p>
        </w:tc>
        <w:tc>
          <w:tcPr>
            <w:tcW w:w="611"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合价</w:t>
            </w:r>
            <w:r/>
          </w:p>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（元）</w:t>
            </w:r>
            <w:r/>
          </w:p>
        </w:tc>
      </w:tr>
      <w:tr>
        <w:trPr/>
        <w:tc>
          <w:tcPr>
            <w:gridSpan w:val="5"/>
            <w:tcW w:w="389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一、视频综合平台及等保</w:t>
            </w:r>
            <w:r/>
          </w:p>
        </w:tc>
        <w:tc>
          <w:tcPr>
            <w:tcW w:w="492"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t xml:space="preserve">　</w:t>
            </w:r>
            <w:r/>
          </w:p>
        </w:tc>
        <w:tc>
          <w:tcPr>
            <w:tcW w:w="611"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t xml:space="preserve">　</w:t>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工作站</w:t>
            </w:r>
            <w:r/>
          </w:p>
        </w:tc>
        <w:tc>
          <w:tcPr>
            <w:tcW w:w="2375" w:type="pct"/>
            <w:vAlign w:val="center"/>
            <w:textDirection w:val="lrTb"/>
            <w:noWrap w:val="false"/>
          </w:tcPr>
          <w:p>
            <w:pPr>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1、尺寸：2U机架式工作站</w:t>
            </w:r>
            <w:r>
              <w:rPr>
                <w:rFonts w:hint="eastAsia" w:ascii="宋体" w:hAnsi="宋体" w:eastAsia="宋体" w:cs="宋体"/>
                <w:color w:val="000000"/>
                <w:sz w:val="20"/>
                <w:szCs w:val="20"/>
                <w:lang w:eastAsia="zh-CN"/>
              </w:rPr>
              <w:t xml:space="preserve">；</w:t>
            </w:r>
            <w:r/>
          </w:p>
          <w:p>
            <w:pPr>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2、处理器：1颗国产化CPU，24核 主频2.5GHz</w:t>
            </w:r>
            <w:r>
              <w:rPr>
                <w:rFonts w:hint="eastAsia" w:ascii="宋体" w:hAnsi="宋体" w:eastAsia="宋体" w:cs="宋体"/>
                <w:color w:val="000000"/>
                <w:sz w:val="20"/>
                <w:szCs w:val="20"/>
                <w:lang w:eastAsia="zh-CN"/>
              </w:rPr>
              <w:t xml:space="preserve">；</w:t>
            </w:r>
            <w:r/>
          </w:p>
          <w:p>
            <w:pPr>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3、内存：配置不低于128G内存（4根32G DDR4 ECC内存条），4个DDR4 DIMM插槽</w:t>
            </w:r>
            <w:r>
              <w:rPr>
                <w:rFonts w:hint="eastAsia" w:ascii="宋体" w:hAnsi="宋体" w:eastAsia="宋体" w:cs="宋体"/>
                <w:color w:val="000000"/>
                <w:sz w:val="20"/>
                <w:szCs w:val="20"/>
                <w:lang w:eastAsia="zh-CN"/>
              </w:rPr>
              <w:t xml:space="preserve">；</w:t>
            </w:r>
            <w:r/>
          </w:p>
          <w:p>
            <w:pPr>
              <w:jc w:val="left"/>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4、硬盘：2块4T 3.5吋 SATA 热插拔机械硬盘，最大支持12块3.5吋/2.5吋的SAS/SATA机械硬盘或固态硬盘</w:t>
            </w:r>
            <w:r>
              <w:rPr>
                <w:rFonts w:hint="eastAsia" w:ascii="宋体" w:hAnsi="宋体" w:eastAsia="宋体" w:cs="宋体"/>
                <w:color w:val="000000"/>
                <w:sz w:val="20"/>
                <w:szCs w:val="20"/>
                <w:lang w:eastAsia="zh-CN"/>
              </w:rPr>
              <w:t xml:space="preserve">；</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5、电源：2个900W交流电源模块，支持1+1冗余；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6、风扇：4个热拔插风扇，支持N+1冗余</w:t>
            </w:r>
            <w:r/>
          </w:p>
          <w:p>
            <w:pPr>
              <w:jc w:val="left"/>
              <w:rPr>
                <w:rFonts w:hint="eastAsia" w:ascii="宋体" w:hAnsi="宋体" w:eastAsia="宋体" w:cs="宋体"/>
                <w:color w:val="000000"/>
                <w:sz w:val="20"/>
                <w:szCs w:val="20"/>
                <w:lang w:eastAsia="zh-CN"/>
              </w:rPr>
            </w:pPr>
            <w:r>
              <w:rPr>
                <w:rFonts w:hint="eastAsia" w:ascii="宋体" w:hAnsi="宋体" w:eastAsia="宋体" w:cs="宋体"/>
                <w:color w:val="000000"/>
                <w:sz w:val="20"/>
                <w:szCs w:val="20"/>
              </w:rPr>
              <w:t xml:space="preserve">7、RAID卡：SAS3908 4G缓存，支持RAID 0,1,10,5,6,50,60</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智慧校园综合管理底座</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1、基础资源管理</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（1）组织管理：支持基础信息的增删改查、导入、导出等功能；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（2）设备管理：支持视频等设备增删改查、导入、导出、自动搜索等功能；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用户管理：支持用户基础信息的增删改查、冻结、解冻、密码重置等功能；支持从Windows域同步用户信息，和企业域账户打通，通过域账户密码直接登录平台；支持用户的安全信息配置，可设置用户及用户登录密码效期以及MAC白名单地址配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（4）角色管理：支持角色基础信息的增删改查；角色关联权限，可配置角色的应用菜单、部门、逻辑组织以及系统资源操作权限；支持角色的复制能力；</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（5）部门管理：支持部门信息增删改查、导入、导出等功能；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（6）人员管理：支持人员基础信息的增删改查、导入、导出、移动等功能；支持人员信息的采集，包含：人脸、指纹、卡片等，人脸照片支持图片质量检测；</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（7）支持卡片基础信息的增删改查、导入、导出等功能；支持人员开卡、挂失、解挂、退卡、补卡、回收等功能；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（8）车辆管理：支持车辆基础信息的增删改查、导入、导出等功能；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（9）地图管理：提供地图管理配置能力，地图类型包含；二维、光栅、三维地图，支持厂家包含：百度、谷歌、高德、天地图、 Arcgis；</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（10）资源绑定：平台资源绑定，包含：设备、通道等，绑定的资源可供各业务系统调阅使用；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门户管理：提供门户首页内容自定义能力，支持自定义快捷入口、自定义菜单内容、自定义页面元素设置；支持门户展示元素自定义，包括页面logo图标、修改网站标题、设置并添加网站外部链接、界面微件自定义布局等；</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（12）级联管理：提供级联管理能力，包含：实现上下级基础资源数据汇聚，视频预览、回放、对讲、反控制，门禁、卡口的抓拍记录汇聚等；</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2、视频管理</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（1）支持实时视频、录像回放、录像下载、电视墙、雷球联动，热成像；</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（2）支持手机移动客户端进行实时视频监控，音频播放，本地截图，本地录像，云台控制，远程视频回放；</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（3）录像支持1/2、1/4、1/8、1/16、1/32、1/64、2、4、8、16、32、64倍速快/慢放；</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3、加密数据库</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（1）原生加密：支持采用多层级密钥保护体系，对数据做全链路加密；</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（2）极致安全：支持安全网络传输来防护网络拦截造成的信息泄露。支持一机一密的数据密态存储，让数据可用不可读；</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（3）无感对接：支持非加密数据一键导入到平台，实现数据切换；</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可视化运维：提供数据库的运行监控大盘，包括CPU、内存及存储空间实时使用情况，慢sql统计分析。同时支持数据的备份还原，及时主机损坏也能通过备份数据快速恢复到新平台上，保护数据不丢失，业务稳定运行；</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4、支持5000路视频通道接入；</w:t>
            </w:r>
            <w:r/>
          </w:p>
          <w:p>
            <w:pPr>
              <w:jc w:val="left"/>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5、基于GB/T 28181等联网标准实现视频监控平台间的级联、互联功能，支持多平台多层次级联，实现平台之间的跨域互联互通与资源共享。内置国标接入2000路授权；</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一体化运管平台</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1、为支持项目后期统一运维管理及后期能力扩展，包括本项目中的入侵防御、日志审计、交换机等网络设备，平台需支持多种格式的包括SNMP V1/V2C/V3、SSH、TELNET、WMI、JDBC、JMX、HTTP第三方脚本等多种方式实现对监控对象统一管理。（需提供软件功能截图加盖投标人公章）</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针对纳管设备，支持查看实时基础信息、内存、CPU、网卡、端口、分区等采集信息；同时支持查看历史数据，可按小时、天、最近七天、最近三十天、自定义时间范围查看历史数据，可通过自动聚合图形灵活选择多个数据对比呈现。</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3、平台内支持基于网络数通设备，配置线路监控，实现丢包率、延时、抖动、出入流速、带宽利用率等线路数据监控。（需提供软件功能截图加盖投标人公章）</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4、平台内置100+告警规则，可批量导入导出告警规则，可灵活启用单条告警规则。支持自定义新建告警阈值，包括自定义告警标题、告警内容，支持告警分类分级。</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5、平台支持以邮箱、短信、企业微信、钉钉、微信公众号、5G消息、IVR语音智能外呼等多种方式，将自动发现的设备和业务通知运维人员，同时可以统计对象的在线和离线时间以及状态。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6、资产概览，可全局呈现项目资产数据、维保分布、资产利用率分布、供应厂商及品牌情况。资产信息变更自动在系统中留存，并可通过平台批量导出变更信息。</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7、资产可视化，支持通过力导布局、辐射布局、层次布局等多种方式呈现项目资产拓扑。</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8、平台具备驾驶舱工作台，提供统一的数智大屏，呈现告警、工单、资产总览，同时具备监控、资产、拨测、工单等分中心的概览页面直观呈现各业务模块运维数据。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9、系统支持分权分域，可为不同的角色、账号单独分配系统权限。系统支持多租户模式，能够租户模式实现项目间数据隔离与安全性，满足大运营模式，为不同租户配置不同的运维功能。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平台支持SaaS服务、本地化部署、监控一体机等方式。本地化部署支持一键安装。平台具备云平台运维能力，适配常见云平台北向API接口，支持Vmware、华为云、阿里云等常见云平台厂家，能够对接获取云平台内物理机、虚拟机、集群、存储、网络等运维指标。</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11、平台必须部署在本地，不得部署在外部网络。如外网可访问，必须满足二级等保要求。</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★注：所投一体化运管平台已适配或承诺适配基于安全可靠测评结果等级I级及以上的处理器(CPU)、操作系统、数据库开发，投标时须提供相关承诺，否则作无效投标处理</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格式自拟）</w:t>
            </w:r>
            <w:r>
              <w:rPr>
                <w:rFonts w:hint="eastAsia" w:ascii="宋体" w:hAnsi="宋体" w:eastAsia="宋体" w:cs="宋体"/>
                <w:color w:val="000000"/>
                <w:sz w:val="20"/>
                <w:szCs w:val="20"/>
              </w:rPr>
              <w:t xml:space="preserve">。</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光模块</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SFP+ 万兆模块(1550nm,40km,LC)</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108</w:t>
            </w:r>
            <w:r/>
          </w:p>
        </w:tc>
        <w:tc>
          <w:tcPr>
            <w:tcW w:w="492" w:type="pct"/>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双向网闸</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1.吞吐量≥1Gbps，并发连接数≥10W。标配提供文件交换、数据库访问和同步、视频交换、访问交换等功能模块。≥2U设备，“双主机+隔离卡”架构，单主机硬件信息≥6电4光2万兆光，内存≥16GB，硬盘≥960G SSD，≥冗余电源。</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2.支持Oracle：11g/12c/19c、SQL Server：2008/2012/2016/2019、MySQL：5/5.6/8、DB2：v9/v11、Sybase：15/16、PostgreSQL：9及国产人大金仓：V7/V8/V8R6、达梦： 7等主流同构异构数据库同步功能，并且支持基于向导式的数据库同步任务配置。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3.支持国际主流视频控制协议SIP、RTMP、GB28181。</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4.支持对客户端IP、端口、访问时间、命令的检查过滤功能。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5.具备自负载功能，无需使用第三方负载均衡设备。支持多台设备集群提升平台性能。</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防火墙</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1.网络层吞吐量≥20G，防病毒吞吐量≥1.5G，IPS吞吐量≥1.5G，并发连接数≥300万，规格≥2U，内存大小≥8G，硬盘容量≥128G SSD，电源≥冗余电源，接口≥8千兆电口+2万兆光口SFP+，本次配置入侵防御及防病毒功能模块。</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2.▲产品支持Cookie攻击防护功能，并通过日志记录Cookie被篡改。</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3.产品原生支持BOT防护功能，可过滤机器人自动化流量，非联动其他组件或产品，并支持用户自定义URL保护范围和保护阈值。</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4.产品应具备独立的勒索病毒防护模块，非普通防病毒功能，支持对特定的业务进行勒索风险自动化评估，并依据评估结果自动生成防护策略。</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5.支持SYN Flood、ICMP Flood、UDP Flood、DNS Flood、ARP Flood等DoS/DDoS攻击防护；支持IP地址扫描和端口扫描防护。</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6.产品支持对文件传输行为进行安全过滤，支持基于上传、下载、双向的文件内容过滤，内容过滤类型至少支持网页、脚本、压缩文件、图片、可执行文件、适配、文本等常见文件类型。</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7.可提供最新的威胁情报信息，能够对新爆发的流行高危漏洞进行预警和自动检测，发现问题后支持一键生成防护规则；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8.▲支持服务器漏洞防扫描功能，并对扫描源IP进行日志记录和联动封锁。</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日志审计</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1.含主机审计许可证书数量≥50，平均每秒处理日志数（eps）最大性能≥2500。规格≥2U，内存大小≥16G，硬盘容量≥128G minisata+4T SATA*2，电源≥单电源，接口≥6千兆电口+2万兆光口SFP+。</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支持网站攻击、漏洞利用、C&amp;C通信、暴力破解、拒绝服务、主机脆弱性、主机异常、恶意软件、账号异常、权限异常、侦查探测等内置关联分析规则，内置关联分析规则数量达到350条以上，支持自定义关联分析规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3.支持资产全生命周期管理，资产入库审核、资产离线风险识别、资产退库、资产数据更新，责任人管理机制等，支持自定义资产标签、属性。</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4.支持对IPv4/ipv6对象的自动发现功能，对自动发现的设备可以修改、删除或转为资产。</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5.支持通过正则、分隔符、json、xml的可视方式进行自定义规则解析，支持对解析结果字段的新增、合并、映射。</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堡垒机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1.含运维授权数≥50，图形运维最大并发数≥100，字符运维最大并发数≥200。规格≥1U，内存大小≥8G，硬盘容量≥4T SATA，电源≥单电源，接口≥6千兆电口。</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2.用户登陆认证方式支持静态口令认证、手机动态口令认证、Usbkey（数字证书）认证、AD域认证、Radius认证等认证方式；并支持各种认证方式和静态口令组合认证。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3.支持一对一、一对多、多对多授权，如将单个资产授权多个用户，一个用户授予多个资产，用户组向资产组授权</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4.支持RDP安全模式（RDP、NLA、TLS、ANY）设置，以适应RDP-Tcp属性中的所有功能配置，包括加密级别为客户端兼容、低、高、符合FIPS标准等加密级别</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定期变更目标设备真实口令，支持自定义口令变更周期和口令强度。口令变更方式至少支持手动指定固定口令、通过密码表生成口令、依照设备挂载的口令策略生成随机口令、依照密码策略生成同一口令等方式</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6.支持命令黑命单，对字符型设备（如linux/unix/网络设备）的高危命令执行进行阻断，如rm、shutdown、reboot等</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高空</w:t>
            </w:r>
            <w:r>
              <w:rPr>
                <w:rFonts w:hint="eastAsia" w:ascii="宋体" w:hAnsi="宋体" w:eastAsia="宋体" w:cs="宋体"/>
                <w:color w:val="000000"/>
                <w:sz w:val="20"/>
                <w:szCs w:val="20"/>
                <w:lang w:val="en-US" w:eastAsia="zh-CN"/>
              </w:rPr>
              <w:t xml:space="preserve">点位</w:t>
            </w:r>
            <w:r>
              <w:rPr>
                <w:rFonts w:hint="eastAsia" w:ascii="宋体" w:hAnsi="宋体" w:eastAsia="宋体" w:cs="宋体"/>
                <w:color w:val="000000"/>
                <w:sz w:val="20"/>
                <w:szCs w:val="20"/>
              </w:rPr>
              <w:t xml:space="preserve">服务费</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服务期三年，高空监控点位要求偏差位置小于50米（含50米），平台高度不低于30米，荷载能力不低于100kg。</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处</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传输链路</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100M专线</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条</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安装及调试</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包含不限于设备/系统的安装/部署、接线、组装、调试、试运行、参数配置、功能验证等技术伴随服务。</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gridSpan w:val="5"/>
            <w:tcW w:w="389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二、监控系统</w:t>
            </w:r>
            <w:r/>
          </w:p>
        </w:tc>
        <w:tc>
          <w:tcPr>
            <w:tcW w:w="492"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c>
          <w:tcPr>
            <w:tcW w:w="611"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400万球机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1.采用全景细节一体化设计，全景采用不低于8个镜头拼接成不小于360度全景画面，细节内置大倍率高速变焦镜头；</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2.采用8个不低于200万像素1/2.8英寸CMOS图像传感器；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3.支持不低于2颗GPU芯片；</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4.内置4颗补光灯，1个光纤接口；</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5.▲设备内置水平仪,当检测到水平仪内水珠位于水平仪中心位置处时,样机安装基本不倾斜；</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6.内置拾音器,具有回声抵消功能,可抵消语音对讲时的回声影响；</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7.全景支持绊线入侵，区域入侵，支持人车分类；细节支持周界防范、视频结构化、人脸检测；</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8.设备能听清距设备5m处声级不小于70dB(A)的声音；</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9.全景：2.8mm@F1.0；细节：5.3mm～134mm；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10.不同智能行为分析可设置联动不同的声音,可通过内置扬声器播放；</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11.细节内置4颗高效红外补光灯，最大红外监控距离100米；</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12.▲支持自动拼接功能,可将任意连续的2~8个图像传感器输出的监视画面进行无缝拼接显示；</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13.主视频图像拼接后：最大水平视场角≥360。最大垂直视场角&gt;110；</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14.支持检测当前镜头指向方向与地平面夹角,并可根据夹角变化自动调整倍率；</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15.支持报警3进2出，音频2进1出，BNC，RS485，最大支持512G Micro SD卡，支持双MIC；内置双扬声器；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16.DC36V供电方式，支持12V电源返送；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17.支持IP67防护等级；</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400万红外枪型网络摄像机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1.采用高性能400万像素1/3英寸CMOS图像传感器，低照度效果好，图像清晰度高</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2.最大可输出400万(2560×1440)@25fps</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3.支持H.265编码，压缩比高，超低码流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4.内置高效红外补光灯，最大红外监控距离50米</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5.支持ROI，SMART H.264+/H.265+，灵活编码，适用不同带宽和存储环境</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6.支持数字宽动态，3D降噪，强光抑制，背光补偿，数字水印，适用不同监控环境</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7.支持多种异常检测：动态检测，视频遮挡，网络断开，IP冲突，音频异常侦测，非法访问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8.内置MIC</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9.支持DC12V/POE供电方式</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10.支持IP67防护等级</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438</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出入口智能抓拍相机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1.采用双镜头、独立双舱一体化设计，内置不少于1个云台，支持双通道互为180度夹角监控；</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2.通道1（细节）：采用不低于400万像素1/1.8英寸CMOS图像传感器；通道2（细节）：采用不低于400万像素1/1.8英寸CMOS图像传感器；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3.内置1个GPU芯片；</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4.通道1（细节）：8mm~32mm；通道2（细节）：8mm~32mm；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5.▲两路通道均支持独立电动云台控制,通道1（细节）：水平旋转范围：0°~355°;垂直旋转范围：-5°~30°;通道2（细节）垂直旋转范围：-5°~30°,水平-13°～13°；</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6.支持手动分区补光控制模式，在手动分区补光模式下,可手动调节视频画面8个区域的补光强度变化；</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双通道均支持在环境光着地低于50lx的条件下，可对速度不小于40Km/h的机动车，速度不大25Km/h的非机动车，速度不大5Km/h的行人三种同时经过画面的目标进行分类曝光，可抓拍人脸、人体、非机动车和机动车目标，抓拍的人脸和车牌号码图片应清晰可辨，无过曝，欠曝情况；</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8.▲支持光源矩形光斑补光,并可通过矩形光斑朝向的偏移实现偏光补光；</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9.支持图像矫正功能，细节摄像机可通过电动控制实现光路轴向±15°的旋转,实现图像矫正,保持图像水平</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10.支持GPS/北斗定位功能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11.支持DC12V供电方式，支持12V电源返送，最大电流165mA；</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12.可通过IE浏览器自定义旋转角度,可一键调节云台至设置的角度；</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13.支持IP67防护等级 ；</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400万双光警戒枪型网络摄像机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1.采用星光级低照度1/2.7英寸CMOS图像传感器，低照度效果好，图像清晰度高</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2.最大可输出400万（2688 × 1520）@25fps，内置GPU芯片。</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3.支持H.265编码，压缩比高，实现超低码流传输</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4.内置高效暖光和红外补光灯，最大红外监控距离60米，最大暖光监控距离30米</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5.支持车辆检测：支持机动车抓拍及报警联动，支持机动车号牌识别；</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6.支持人脸检测：支持跟踪，支持优选，支持抓拍，支持上报最优的人脸抓图，支持人脸增强，人脸曝光，支持人脸属性提取，支持6种属性，8种表情</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7.支持绊线入侵，区域入侵，快速移动，物品遗留，物品搬移，徘徊检测，人员聚集，停车检测</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8.支持声光报警联动，当报警产生时，可触发联动声音警报和灯光闪烁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9.支持一键撤防，可在自定义设置的时间段内对报警输出，邮件，音频，灯光等事件联动项进行统一撤防控制</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10.支持三码流功能，两路高清视频显示</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11.支持走廊模式，宽动态，3D降噪，强光抑制，背光补偿，数字水印，适用不同监控环境</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12.支持ROI，SMART H.264/H.265，AI H.264/H.265，灵活编码，适用不同带宽和存储环境</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13.支持最大支持512G Micro SD卡，内置麦克和扬声器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14.支持DC12V/PoE供电方式</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15.支持IP67防护等级</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16.支持SMD 3.0</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749</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球机支架</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标配</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w:t>
            </w:r>
            <w:r/>
          </w:p>
        </w:tc>
        <w:tc>
          <w:tcPr>
            <w:tcW w:w="49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17</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出入口相机支架</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标配</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tcW w:w="49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枪机支架</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标配</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支</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1187</w:t>
            </w:r>
            <w:r/>
          </w:p>
        </w:tc>
        <w:tc>
          <w:tcPr>
            <w:tcW w:w="492" w:type="pct"/>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立杆</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3.5米高不锈钢材质，含抱杆箱和基础，满足使用需求。</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76</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20</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网络视频存储器（24盘位）</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1.设备规格：≤4U，≥24盘位；</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2.具有1个控制单元，1个64位六核处理器，标配8GB内存，可扩展至128GB。具有128GB SSD固态硬盘，可扩展至2个512GB SSD固态硬盘。可扩展1个2.5英寸SATA硬盘。</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3.支持RAID0、1、5、6、10、50、60、JBOD、Hot-Spare（热备）多种RAID模式；电源、风扇、接口、数据通道冗余。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4.支持视频流直存功能，支持图片直存，支持标准iSCSI协议存储，支持IPSAN，支持NAS服务，支持N+M集群。支持不少于320路私有、onvif、国标6.等前端1：1：1接入、存储和转发。</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5.前端IPC、NVR、DVR发生断网，待恢复网络连接后，可将断网时段内的录像续传到服务器。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支持同时接入不少于512路的人脸、人体检测、车辆检测等摄像机，支持当侦测到人脸、人体、车辆等时，可进行抠图和抓拍，并触发报警联动录像、抓拍图片、弹出报警画面、发送语音提示、上传中心、蜂鸣报警以及日志记录；支持按照人脸、人体、车辆的各属性进行查询检索。</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当使用账户登录时连续输入身份鉴别信息错误次数超过设定的阀值时自动锁定账户一段时间，并产生报警信息；可限制仅允许用户在特定IP主机上登录设备；可限制仅允许用户在特定时间段登录设备；应具备账户密码重置功能；可设置当用户账户登录成功后30分钟内无操作，则强制注销该账户登录状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8.支持配置文件和数据导出功能，且支持配置文件和数据加密导出；支持后台配置数据、账户数据和密钥数据均采用AES加密算法进行存储。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9.支持系统存储资源自动统一配置，当分配的空间不足时，系统可自动分配更多的空间给用户。</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10.支持同时损坏8块硬盘时所属RAID存储数据不应丢失，应能正常读写。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11.设备可建立共享文件夹，共享文件夹同时支持SAMBA和NFS协议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12.支持1/16、1/8、1/4、1/2、2、4、8、16、32、64、128、256倍速回放录像。</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网络视频存储器（48盘位）</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1.设备规格：≤6U，≥48盘位；</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2.具有1个控制单元，1个64位六核处理器，标配8GB内存，可扩展至128GB。具有128GB SSD固态硬盘，可扩展至2个512GB SSD固态硬盘。可扩展1个2.5英寸SATA硬盘。</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3.支持RAID0、1、5、6、10、50、60、JBOD、Hot-Spare（热备）多种RAID模式；电源、风扇、接口、数据通道冗余。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4.支持视频流直存功能，支持图片直存，支持标准iSCSI协议存储，支持IPSAN，支持NAS服务，支持N+M集群。支持不少于320路私有、onvif、国标6.等前端1：1：1接入、存储和转发。</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5.前端IPC、NVR、DVR发生断网，待恢复网络连接后，可将断网时段内的录像续传到服务器。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支持同时接入不少于512路的人脸、人体检测、车辆检测等摄像机，支持当侦测到人脸、人体、车辆等时，可进行抠图和抓拍，并触发报警联动录像、抓拍图片、弹出报警画面、发送语音提示、上传中心、蜂鸣报警以及日志记录；支持按照人脸、人体、车辆的各属性进行查询检索。</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当使用账户登录时连续输入身份鉴别信息错误次数超过设定的阀值时自动锁定账户一段时间，并产生报警信息；可限制仅允许用户在特定IP主机上登录设备；可限制仅允许用户在特定时间段登录设备；应具备账户密码重置功能；可设置当用户账户登录成功后30分钟内无操作，则强制注销该账户登录状态。</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8.支持配置文件和数据导出功能，且支持配置文件和数据加密导出；支持后台配置数据、账户数据和密钥数据均采用AES加密算法进行存储。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9.支持系统存储资源自动统一配置，当分配的空间不足时，系统可自动分配更多的空间给用户。</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10.支持同时损坏8块硬盘时所属RAID存储数据不应丢失，应能正常读写。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11.设备可建立共享文件夹，共享文件夹同时支持SAMBA和NFS协议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12.支持1/16、1/8、1/4、1/2、2、4、8、16、32、64、128、256倍速回放录像。</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22</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网络硬盘录像机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1.主处理器：工业级微控制器；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2.操作系统：嵌入式Linux操作系统；</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3.后智能分析：支持后智能人脸检测、人脸识别、周界防范、智能动检；</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4.前智能分析：支持前智能人脸检测、人脸识别、视频结构化、周界防范、智能动检、立体行为分析、人像检测、人群分布、人数统计、热度图、车5.牌识别、车辆密度、物品监控、抛物检测、电瓶车入梯；</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6.精准检索（摘要）性能：最大支持32路，每路1个事件/秒；</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7.周界后智能性能（路数）：4路，每路绘制10规则线；</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8.周界前智能性能（路数）：全通道（最大处理16个事件/秒）；</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9.人脸检测后智能性能（1080P）(路数)：2路，单路同时最多检测12张人脸；</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10.人脸识别后智能性能（1080P）(路数)：1. 前端人脸检测+后端人脸比对支持16路图片流，最多同时处理16张/秒人脸；2. 后端人脸检测+后端11.人脸比对支持2路视频流，最多同时处理12张/秒人脸；</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12.人脸识别前智能性能（路数）：全通道（最大处理16个事件/秒）；</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13.接入路数：32路；</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14.分辨率：32MP；24MP；16MP；12MP；8MP；6MP；5MP；4MP；3MP；1080p；720p；960p；D1；CIF；</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15.解码能力：不开智能：2路32MP@25fps；2路24MP@25fps；4路16MP@30fps；5路12MP@30fps；8路8MP@30fps；10路6MP@30fps；12路5MP@30fps；16路4MP@30fps；32路1080p@30fps；开智能：1路32MP@25fps；1路24MP@25fps；2路16MP@30fps；4路12MP@30fps；6路8MP@30fps；8路6MP@30fps；8路5MP@30fps；12路4MP@30fps；24路1080p@30fps；</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16.报警输入：16路；</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17.报警输出：8路，其中7路继电器输出，1路12V1A ctrl输出；</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18.硬盘接口：8个SATA，单盘最大20T；</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19.RS-485接口：2个（1个半双工串行AB接口，1个全双工串行接口）；</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20.网络接口：2个（10M/100M/1000M以太网口，RJ-45）</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43</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23</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硬盘（8T）</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1.单盘容量：8TB；</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2.缓存：256MB；</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3.转速：7200RPM；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4.硬盘接口：SATA</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212</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硬盘（16T）</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1.单盘容量：16TB；</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2.缓存：512MB；</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3.转速：7200RPM；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4.硬盘接口：SATA</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块</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198</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25</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监控用壁挂箱</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400mm*400mm*300mm不锈钢材质 满足使用需求。</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213</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26</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安装及调试</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包含不限于设备/系统的安装/部署、接线、组装、调试、试运行、参数配置、功能验证等技术伴随服务。</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gridSpan w:val="5"/>
            <w:tcW w:w="389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三、网络系统</w:t>
            </w:r>
            <w:r/>
          </w:p>
        </w:tc>
        <w:tc>
          <w:tcPr>
            <w:tcW w:w="492"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c>
          <w:tcPr>
            <w:tcW w:w="611"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27</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防火墙</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1.网络层吞吐量≥3G，防病毒吞吐量≥500M，IPS吞吐量≥400M，并发连接数≥100万，规格≥1U，内存大小≥4G，硬盘容量≥64G SSD，电源≥单电源，接口≥6千兆电口+2千兆光口SFP。</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2.支持基于IMAP、FTP、RDP、VNC、SSH、TELNET、ORACLE、MYSQL、MSSQL等应用协议进行深度检测与防护。</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3.支持对已被种植远控木马、病毒等恶意软件的终端进行检测，并且能够对检测到的恶意软件行为进行深入分析，展示与外部命令控制服务器的交互行为及其他可疑行为。</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4.▲产品支持数据库漏洞攻击防护功能，能够防护数据库漏洞攻击的漏洞攻击。</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5.支持基于应用类型，网站类型，文件类型进行带宽分配和流量控制，支持基于时间、地域、认证用户、子接口和VLAN等因素实现对象的流量控制。</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6.产品支持Cookie攻击防护功能，并通过日志记录Cookie被篡改。</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7.▲支持对压缩病毒文件进行检测和拦截，压缩层数支持15层及以上。</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8.支持僵尸网络检测，防止失陷主机威胁内网扩散。</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43</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28</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上网行为管理</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1.网络层吞吐量（大包）≥2Gb，应用层吞吐量≥150Mb，带宽性能≥100Mb，规格≥1U，内存大小≥4G，硬盘容量≥128G SSD，电源≥单电源，接口≥4千兆电口。</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2.▲支持使用账号密码+动态令牌(Authenticator APP)验证码身份认证，支持通过短信和密码绑定动态令牌。</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3.支持radius、AD、POP3、Proxy、PPPOE、 H3C IMC/CAMS、锐捷 SAM、城市热点等系统进行认证单点登录，可强制指定用户、指定IP段的用户必须使用单点登录。</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4.支持在不同线路上，根据不同的应用、目标IP、时间段、日期、用户/用户组、位置、终端类型来保证或者限制流量，可根据百分比或数值设置通道带宽，并支持设置各通道的优先级。</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5.支持加密的网页、论坛、BBS上的发帖行为精细化管理：过滤同时匹配三个以上关键字过滤的网络发帖行为、允许用户浏览帖子但不准发帖功能。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6.支持为用户添加属性（职位、临时项目组、邮件组等），能够根据用户属性配置上网权限策略、流控策略，审计策略等。</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7.▲支持ssl中间人解密和准入客户端解密。</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8.支持自动注销指定时间内无流量的已认证用户。</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43</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29</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汇聚交换机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1.千兆接入交换机 ，24个10/100/1000M自适应电口，4个1G/10G SFP+光口，固化交流电源和风扇。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 交换容量672Gbps/6.72Tbps | 包转发率≥171Mpps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 支持动态路由协议（RIP、OSPF）、VSU、802.X认证、ERPS环网保护协议、链路聚合</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 支持云管理&amp;本地管理</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43</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8口POE交换机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1.千兆接入交换机 ， 8个10/100/1000M自适应电口，2个1G/2.5G SFP光口，带风扇，1-8端口支持PoE/PoE+远程供电。 PoE 输出功率：≥240W</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 交换容量≥336Gbps  包转发率≥42Mpps</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 支持静态路由、链路聚合、EEE节能以太网技术、端口防雷能力10KV以上</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 支持云管理&amp;本地管理二层 | 千兆接入交换机 | 24个10/100/1000Base-T自适应以太网接口，4个1G/2.5G SFP光口，POE输出功率370W。 | 支持PoE+ | 交换容量432Gbps/4.32Tbps | 包转发率108Mpps/126Mpps  | 支持静态路由、链路聚合、EEE节能以太网技术、端口防雷能力10KV | 支持云管理＆本地管理</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96</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31</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24口POE交换机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1.千兆接入交换机 ， 24个10/100/1000M自适应电口，2个1G/2.5G SFP光口，带风扇，1-24端口支持PoE/PoE+远程供电。 PoE 输出功率：≥370W。</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 交换容量≥336Gbps  包转发率≥42Mpps</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 支持静态路由、链路聚合、EEE节能以太网技术、端口防雷能力10KV以上</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 支持云管理&amp;本地管理</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38</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光模块</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光模块-SFP-GE-单模模块-(1310nm,10km,LC)</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块</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278</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33</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服务器机柜</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1.19英寸标准机架式机柜，符合GB/T3047.2标准，尺寸600*1000*2000MM；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2.全部采用优质冷轧钢板，厚度：方孔条2.0，其他1.2mm，机柜表面采用先喷砂，后喷塑的表面处理工艺，保证机柜表面涂层的牢固可靠，耐酸碱、耐腐蚀、防静电；</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3.采用前后网设计，具备旋把门锁，可拆卸的左右侧门，方便安装调试，可同时安装脚轮和支撑脚，方便移动，结构坚固，承载不小于500Kg</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57</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安装及调试</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包含不限于设备/系统的安装/部署、接线、组装、调试、试运行、参数配置、功能验证等技术伴随服务。</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gridSpan w:val="5"/>
            <w:tcW w:w="389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四、智能升降柱</w:t>
            </w:r>
            <w:r/>
          </w:p>
        </w:tc>
        <w:tc>
          <w:tcPr>
            <w:tcW w:w="492"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c>
          <w:tcPr>
            <w:tcW w:w="611"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35</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智能液压升降柱</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1、液压驱动；304不锈钢材质；内筒壁厚不低于6mm；升降高度不低于60cm；内筒直径不低于219M</w:t>
            </w:r>
            <w:r>
              <w:rPr>
                <w:rFonts w:hint="eastAsia" w:ascii="宋体" w:hAnsi="宋体" w:eastAsia="宋体" w:cs="宋体"/>
                <w:color w:val="000000"/>
                <w:sz w:val="20"/>
                <w:szCs w:val="20"/>
              </w:rPr>
              <w:t xml:space="preserve">M。                      　　　　　  　　　　　　　　　                                                                                     　2、动力系统电压220V；支持遥控器或按键控制；升降速度不低于150MM/S。  　　　　　                 　　　　　　　　　　　　　　　　　　　                                                </w:t>
            </w:r>
            <w:r>
              <w:rPr>
                <w:rFonts w:hint="eastAsia" w:ascii="宋体" w:hAnsi="宋体" w:eastAsia="宋体" w:cs="宋体"/>
                <w:color w:val="000000"/>
                <w:sz w:val="20"/>
                <w:szCs w:val="20"/>
              </w:rPr>
              <w:t xml:space="preserve">                                              3、浸水性能：路障阻挡主体置于水池中浸泡48h无漏电现象，且能正常升降。　　　　　　      　　　　　　　　　　　　　                                                                                                   　4、阻挡柱体应能正常升降、无卡滞、到位可靠。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5、冲撞测试性能不低</w:t>
            </w:r>
            <w:r>
              <w:rPr>
                <w:rFonts w:hint="eastAsia" w:ascii="宋体" w:hAnsi="宋体" w:eastAsia="宋体" w:cs="宋体"/>
                <w:color w:val="000000"/>
                <w:sz w:val="20"/>
                <w:szCs w:val="20"/>
              </w:rPr>
              <w:t xml:space="preserve">于B3级，在外部供电停止状态下通过自备电源供电具有升降功能。    　　　　　　　   　　   　　　　　　　　　　　　 　　                       　                                                      6、升降柱连续升降5000次无停机及故障，且升降灵活，到位准确。　　　　　　　　　　　　　　　　　　　　　　　　　　7、▲升降柱系统具备机芯保护功能，当温度低于设置值时，自动开启机芯加热功能，保障液压部件始终处于最佳工作环境。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8、抗电强度：应符合GB16796-2009中5.4.3的规定；绝缘电阻应符合GB16796-2009中5.4.4的规定；泄漏电流应符合GB16796-2009中5.4.6的规定。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9、路桩阻挡主体应进行防锈处理，耐腐蚀等级应大于或等于GA/T1343-2016标准表4规定的7级要求。</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10、应急功能：在外部供电停止状态下，应具有备用电源或具有手动升降功能。　　　　　　　　　　　　11、▲防顶车系统：当车辆停止或行驶在升降柱上端时，因具备防顶车功能，手动及遥控平台操控升降柱上升则不接收上升信号，如升降柱正处于上升状态时出现车辆通行，升降柱自动发出下降信号，防止顶车或刮车故障。</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103</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36</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智能控制箱</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 断电保护功能：电路出现波动在过压、欠压，电流过大，或者短路时设备应具有自动断电保护功能，电路恢复正常或者手动复位则设备可正常工作。　　　　　　　　　　　　　　　　　　　　　　　　　　2、控制系统稳定性：升降柱无信号输入，无操作指令，不会输出信号，设备不会自动运行。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3、分组控制功能：升降柱控制柜可对升降路障的上升和下降实现分组控制。　　　　　　　　　　　　　4、保护功能：具备优先升起反恐保护功能及红外保护接口；　　　　 　　　　　　　　　　　　　　　　5、治安联动：具备治安报警系统联动控制接口；　　　　　　　　　　　　　　　　　　　　　　　　　　6、控制功能：可通过手动按键和无线遥控器控制柱身上升和下降　　　　　　　　　　　　　　　　　　　　7、升降柱控制箱可与升降柱控制平台软件无缝联接，平台集中控制功能。（提供升降柱平台软件著作权加盖厂商公章）</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37</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智能遥控器</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具备自主学习功能，可控制单根起降、多根起降、整体起降</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47</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38</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应急电源</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2V7AH，停电时控制升降柱应急下降</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26</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39</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主供电电缆</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国标RVV3*4.0</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790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40</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电源线</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国标RVV4*1.5</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2340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41</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控制线</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国标RVV3*1.5</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2340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42</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管道　</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国标PVC材质　直径50MM</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853</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43</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排水系统</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每个大门单独设置排水井，安装全自动水泵，水泵功率不低于300W，水面高于设置高度时，自动排水。</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25</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土建、预埋及安装调试</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包含路面切割，开挖，安装柱体，垃圾运输，混凝土浇筑，路面恢复、安装调试，井盖，固定钢筋等项目所需其它工作量。</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103</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gridSpan w:val="5"/>
            <w:tcW w:w="389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五、巡更系统</w:t>
            </w:r>
            <w:r/>
          </w:p>
        </w:tc>
        <w:tc>
          <w:tcPr>
            <w:tcW w:w="492"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c>
          <w:tcPr>
            <w:tcW w:w="611"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45</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巡更棒</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1.产品材质 三防机身：</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2.感应距离 靠近巡更点0-3cm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3.防护等级 IP65</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4.存储容量云端容量无限制(无信号可本地存储≥10000条)</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5.工作温度 -10℃~+55℃</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6.通讯方式 免驱通讯</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7.提示方式 ：语音/声音/震动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8.闹钟功能  自定义添加闹钟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9.内置电池 大于等于1800毫安聚合物锂电池：</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10.数据查询：内置4G流量卡，数据自动上传，支持手机、电脑在线看数据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11.带手电照明功能，设备上支持查询打卡信息；</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180</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46</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标识牌含夜标</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1.标识信息钮位置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2.保护墙内信息钮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3.体现巡更管理系统的工程形象</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4.夜光显示</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675</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47</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巡逻点卡</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1.射频卡点位信息。</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2.可选用多种类型可以打孔安装或者粘贴安装，防水防晒。</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675</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48</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巡逻员卡</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1.外型美观，携带方便，外表面有号码印刷，人员射频卡。</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2.使用人员卡可以实现多人共用一台巡更机。可以把巡更计划安排到人，责任落实到人。</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268</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49</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巡更管理软件</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1.智能排班：只需一次排班便可长期使用，不需要反复多次排班</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2.自动识别：自动识别地点和人员，任何点都可以复用到多条线路，自动匹配</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3.自动通讯：自动完成巡更机通讯、时钟校验、数据上载、数据下载等功能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4.联网功能：可以通过因特网将数据传输到管理中心，可通过浏览器进行查询</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5.自动维护：自动完成数据月备份、周备份和即时备份，自动清除过期数据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6.方便安装：可导出基础信息，软件重装后导入即可，不用重新设置</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7.存储时间≥24个月。</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套</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65</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50</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巡更通讯座</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1.通信方式 USB接口</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2.读卡类型 EMID 射频格式</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3.工作温度 -10℃～ 45℃</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4.工作湿度 0～95℅</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5.有指示灯方便识别数据传输状态。</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65</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51</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安装及调试</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包含不限于设备/系统的安装/部署、接线、组装、调试、试运行、参数配置、功能验证等技术伴随服务。</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gridSpan w:val="5"/>
            <w:tcW w:w="389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六、张力围栏</w:t>
            </w:r>
            <w:r/>
          </w:p>
        </w:tc>
        <w:tc>
          <w:tcPr>
            <w:tcW w:w="492"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c>
          <w:tcPr>
            <w:tcW w:w="611"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52</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网络型张力四道双防区控制器</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1.材质：控制杆体采用铝制材料+抗氧化处理，所有配件螺丝采SUS304不锈钢材质；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2.外壳防护等级：IP55；</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3.工作电压：AC220V、DC12V~24V；</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功率：2W</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4.避雷隔离：张力模块与外壳完全与钢丝绳隔离；</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5.设备运行指示灯：对系统运行状态进行实时显示；</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6.现场故障、报警提示：蜂鸣音</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7.张力模块 张力测量值：100N-450N 张力负荷分度值：1N 可承受最大张力：1000N</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8.▲网络型设备，控制器具备RJ45通信接口。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9.▲终端具有精准定位功能，能实时显示防区报警的精确位置，精准定位单元实时判断报警发生位置，定位精度不大于5米。                                                        </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10.▲警戒张力值调整功能，调整间隔时间在1S-28800S内可设置。</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72</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53</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网络型张力四道单防区控制器</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1.材质：控制杆体采用铝制材料+抗氧化处理，所有配件螺丝采SUS304不锈钢材质；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2.外壳防护等级：IP55；</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3.工作电压：AC220V、DC12V~24V；</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功率：2W</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4.避雷隔离：张力模块与外壳完全与钢丝绳隔离；</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5.设备运行指示灯：对系统运行状态进行实时显示；</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6.现场故障、报警提示：蜂鸣音</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7.张力模块 张力测量值：100N-450N 张力负荷分度值：1N 可承受最大张力：1000N</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33</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万向底座（控制杆配套）</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材质：铝制材料+抗氧化处理，所有配件螺丝采用SUS304不锈钢；跟四道控制杆配套，安装角度、高度可调节</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99</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55</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不锈钢弹簧</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材质：SUS304不锈钢； 拉力值80-320KG 永不生锈</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620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56</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四道受力杆</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材质：铝制材料+抗氧化处理，高度不低于80CM，壁厚不低于3MM，所有配件螺丝采用SUS304不锈钢；安装角度可调节</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304</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57</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转向滑轮</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1.材质：铝合金材质；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2.用于拐角处平稳过线,减少磨擦</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3.方向可调,永不生锈</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448</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58</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四道支撑杆</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1.材质：铝制材料+抗氧化处理，高度不低于80CM，壁厚不低于2MM，所有配件螺丝采用SUS304不锈钢；</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2.安装角度、高度可调节</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1422</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59</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万向底座</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1.铝合金材质+抗氧化处理壁厚不低于3MM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2.L型底座</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2157</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60</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紧线器</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1.材质：铝合金材质；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2.钢丝绳收紧自锁功能</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3.方向可调</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620</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61</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压接铝套（和钢丝绳配套）</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1.材质：铝制材料；</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2.直径：3mm；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3.钢丝绳每端至少固定2只</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2124</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62</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不锈钢钢丝绳</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1.材质：SUS304不锈钢；</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2.直径：多股，直径不小于1.2mm；</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21800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63</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围栏警示牌</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ABS工程塑料　三扣型设计　不易晃动　尺寸15*25CM</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块</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602</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警号</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12V旋转声光红色警示灯，警笛音90分贝，LED灯珠，配L型不锈钢支架（厚2MM）。</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89</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65</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避雷器</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采用国际先进的加工工艺和科学技术，可实现雷击电子围栏前端时，避雷器上具有双避雷球、扼流圈、等同时，多次放电，以求达到多重保护主机设备。三页避雷器，配不锈钢支架。满足设计及使用需求。</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368</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66</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24V电源</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张力探测器专用电源　24V2A</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89</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67</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终端盒</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不锈钢材质  尺寸200*300*100MM，两侧具备散热孔</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89</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68</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中心控制主机</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LED中文液晶显示、密码操作，实时监测前端张力围栏主机，DC12V报警输出，RS232串口输出，具备一键布撤防、自动定时布/撤、高低压切换功能。具有语音提示功能，应能实现防区报警、操作步骤等同步语音提示。</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69</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联动模块</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工作电压：12V；防区数量：16；与电子地图无缝联动，每路联动信号常开常闭可调，指示灯显示通讯和工作状态，实时联动电子地图精确显示报警防区的信号灯。</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23</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70</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电子地图</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系统工作状态灯：通过LED灯能实时显示系统工作状态（布、撤防）。</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防区指示灯：当有报警信号发生时能及时显示报警区域位置,便于安保人员巡查。</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供电方式：DC12V（电子地图联动模块DC12V输出直接连接）。</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亚克力定制全屏无边框设计　尺寸80*120CM。</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台</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71</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信号线</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国标RVVP2*1.0</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7710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72</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电源线</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国标RVV2*1.0</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7710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73</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管道　</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国标直径20MM</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7710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工程辅材</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膨胀螺丝 线卡等工程所需辅材</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14</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75</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安装及调试</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包含不限于设备/系统的安装/部署、接线、组装、调试、试运行、参数配置、功能验证等技术伴随服务。</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gridSpan w:val="5"/>
            <w:tcW w:w="3895" w:type="pct"/>
            <w:vAlign w:val="center"/>
            <w:textDirection w:val="lrTb"/>
            <w:noWrap w:val="false"/>
          </w:tcPr>
          <w:p>
            <w:pPr>
              <w:jc w:val="center"/>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七、综合布线系统</w:t>
            </w:r>
            <w:r/>
          </w:p>
        </w:tc>
        <w:tc>
          <w:tcPr>
            <w:tcW w:w="492"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c>
          <w:tcPr>
            <w:tcW w:w="611" w:type="pct"/>
            <w:vAlign w:val="bottom"/>
            <w:textDirection w:val="lrTb"/>
            <w:noWrap/>
          </w:tcPr>
          <w:p>
            <w:pPr>
              <w:jc w:val="left"/>
              <w:widowControl/>
              <w:rPr>
                <w:rFonts w:hint="eastAsia" w:ascii="等线" w:hAnsi="等线" w:eastAsia="等线" w:cs="宋体"/>
                <w:color w:val="000000"/>
                <w:sz w:val="22"/>
              </w:rPr>
            </w:pPr>
            <w:r>
              <w:rPr>
                <w:rFonts w:hint="eastAsia" w:ascii="等线" w:hAnsi="等线" w:eastAsia="等线" w:cs="宋体"/>
                <w:color w:val="000000"/>
                <w:sz w:val="22"/>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76</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六类非屏蔽网线</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1.名称：六类4对非屏蔽双绞线电缆</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2.规格：非屏蔽单股线，铜芯材质：优质无氧铜，芯线外被</w:t>
            </w:r>
            <w:r>
              <w:rPr>
                <w:rFonts w:hint="eastAsia" w:ascii="宋体" w:hAnsi="宋体" w:eastAsia="宋体" w:cs="宋体"/>
                <w:color w:val="000000"/>
                <w:sz w:val="20"/>
                <w:szCs w:val="20"/>
              </w:rPr>
              <w:t xml:space="preserve">：HDPE，外护套PVC；通过ANSI/TIA/EIA568C.2250MHZ带宽测试要求；适当的外径，安装时不易扭绞和卡住；护套是PVC;颜色可供多种选择；提供线缆长度标记，减少浪费；具有十字PE骨架，保证传输性能；直流电阻≤9.5Ω/100m；特性阻抗100±15Ω；绝缘电阻≧5000MΩ/km；线对直流电阻不平衡≤2.5%；工作电容≤5.6nF/100m；电缆对数：4对；导体材料：无氧圆铜（纯度大于99.99%）；线规：23AWG0.57mm；电缆外径：≤6.1mm；绝缘材料：HDPE（实心聚烯烃）；</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65500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77</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主干电源线</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国标3*2.5</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18760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78</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4芯光纤</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1.室外通信光缆 4芯，石英玻璃材质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2.光纤规格 B1.3/OS2，9μm/125μm，适配千兆光模块</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3.传输波长 1310nm、1550nm（长距离）</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4.衰减系数 1310nm≤0.36dB/km；1550nm≤0.22dB/km</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5.结构及敷设 GYTS带铠，支持管道/直埋/架空</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18760</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79</w:t>
            </w:r>
            <w:r/>
          </w:p>
        </w:tc>
        <w:tc>
          <w:tcPr>
            <w:tcW w:w="543"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网络理线架（8口）</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1.名称：19"标准机柜用1U宽度理线器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技术参数：理线架采用优质冷轧板冲压成型，静电粉末喷塑,标准依照19"机架标准,适用于配线架、跳线架及设备跳线的水平和垂直方向的线缆管理。设计简洁，对于各种线缆提供灵活，有效和安全的管理，使布线系统整洁美观。符合19"机架标准, 配带有机柜配套螺丝，易于安装操作。理线器整体材质：钢架+黑色喷塑；安装高度：1U；安装方式：机柜螺丝安装；使用温度： -40～70℃；湿度：85%（温度85℃±3℃）</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3.支持8口交换机配套，可整理≥8根六类网线/4芯光缆，理线有序、便于检修，适配8口交换机机房组网整理需求</w:t>
            </w:r>
            <w:r/>
          </w:p>
        </w:tc>
        <w:tc>
          <w:tcPr>
            <w:tcW w:w="25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48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96</w:t>
            </w:r>
            <w:r/>
          </w:p>
        </w:tc>
        <w:tc>
          <w:tcPr>
            <w:tcW w:w="492"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vMerge w:val="restart"/>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80</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网络理线架（24口）</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1.名称：19"标准机柜用1U宽度理线器</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2.技术参数：理线架采用优质冷轧板冲压成型，静电粉末喷塑,标准依照19"机架标准,适用于配线架、跳线架及设备跳线的水平和垂直方向的线缆管理。设计简洁，对于各种线缆提供灵活，有效和安全的管理，使布线系统整洁美观。符合19"机架标准, 配带有机柜配套螺丝，易于安装操作。理线器整体材质：钢架+黑色喷塑；安装高度：1U；安装方式：机柜螺丝安装；使用温度： -40～70℃；湿度：85%（温度85℃±3℃）</w:t>
            </w:r>
            <w:r/>
          </w:p>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3.支持24口交换机配套，可整理≥24根六类网线/4芯光缆，理线有序、便于检修，适配24口交换机机房组网整理需求</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38</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81</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光纤跳线</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LC-LC单模双芯 跳线 3m</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300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82</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PVC管</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φ25</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44180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83</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开槽</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10公分宽，20公分深，含恢复</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6500</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84</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辅材</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管卡、八六盒、扎带、水晶头、胶布、熔纤、熔纤盒</w:t>
            </w:r>
            <w:r/>
          </w:p>
        </w:tc>
        <w:tc>
          <w:tcPr>
            <w:tcW w:w="25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43</w:t>
            </w:r>
            <w:r/>
          </w:p>
        </w:tc>
        <w:tc>
          <w:tcPr>
            <w:tcW w:w="492"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r>
        <w:trPr/>
        <w:tc>
          <w:tcPr>
            <w:tcW w:w="244"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85</w:t>
            </w:r>
            <w:r/>
          </w:p>
        </w:tc>
        <w:tc>
          <w:tcPr>
            <w:tcW w:w="543"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安装及调试</w:t>
            </w:r>
            <w:r/>
          </w:p>
        </w:tc>
        <w:tc>
          <w:tcPr>
            <w:tcW w:w="2375"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包含不限于设备/系统的安装/部署、接线、组装、调试、试运行、参数配置、功能验证等技术伴随服务。</w:t>
            </w:r>
            <w:r/>
          </w:p>
        </w:tc>
        <w:tc>
          <w:tcPr>
            <w:tcW w:w="251"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项</w:t>
            </w:r>
            <w:r/>
          </w:p>
        </w:tc>
        <w:tc>
          <w:tcPr>
            <w:tcW w:w="48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W w:w="492" w:type="pct"/>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c>
          <w:tcPr>
            <w:tcW w:w="611" w:type="pct"/>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r>
            <w:r/>
          </w:p>
        </w:tc>
      </w:tr>
    </w:tbl>
    <w:p>
      <w:pPr>
        <w:ind w:firstLine="480"/>
        <w:jc w:val="left"/>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备注：投标人提供的设备设施必须是生产企业原厂生产的（不得拆机、改装）、全新的、未使用过的，完全符合国家和原厂质量检测标准，并具有产品质量检验合格证；投标人如采用贴牌产品，一经发现取消中标资格、终止合同，并承担相应的法律责任。</w:t>
      </w:r>
      <w:r/>
    </w:p>
    <w:p>
      <w:pPr>
        <w:ind w:firstLine="480"/>
        <w:jc w:val="left"/>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采购人不组织集中现场考察或答疑，投标人可自行前往项目现场进行考察。未考察现场或考察工作不详细的投标人中标后，不得以不完全了解现场情况为理由而向采购人提出任何索赔或其他要求，对此采购人不承担任何责任并将不做任何答复。</w:t>
      </w:r>
      <w:r/>
    </w:p>
    <w:p>
      <w:pPr>
        <w:pStyle w:val="955"/>
        <w:ind w:firstLine="482"/>
        <w:jc w:val="left"/>
        <w:spacing w:before="60" w:after="60" w:line="420" w:lineRule="exact"/>
        <w:widowControl/>
        <w:rPr>
          <w:rFonts w:hint="eastAsia" w:ascii="宋体" w:hAnsi="宋体" w:eastAsia="宋体" w:cs="宋体"/>
          <w:b/>
          <w:bCs/>
          <w:sz w:val="24"/>
        </w:rPr>
      </w:pPr>
      <w:r/>
      <w:bookmarkStart w:id="200" w:name="OLE_LINK1"/>
      <w:r>
        <w:rPr>
          <w:rFonts w:ascii="宋体" w:hAnsi="宋体" w:eastAsia="宋体" w:cs="宋体"/>
          <w:b/>
          <w:bCs/>
          <w:sz w:val="24"/>
        </w:rPr>
        <w:t xml:space="preserve">二、</w:t>
      </w:r>
      <w:r>
        <w:rPr>
          <w:rFonts w:hint="eastAsia" w:ascii="宋体" w:hAnsi="宋体" w:eastAsia="宋体" w:cs="宋体"/>
          <w:b/>
          <w:bCs/>
          <w:sz w:val="24"/>
        </w:rPr>
        <w:t xml:space="preserve">高空监控点位</w:t>
      </w:r>
      <w:bookmarkEnd w:id="200"/>
      <w:r/>
      <w:r/>
    </w:p>
    <w:p>
      <w:pPr>
        <w:ind w:firstLine="480"/>
        <w:jc w:val="left"/>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为提升全县校园安全保障能力，预防和震慑犯罪，加强校园秩序管理，提升校园管理精细化水平，提高应急处置效率，减少事故损失，保护师生人身财产安全，计划在部分重点学校建设共计6个高空监控点位，每处高空监控</w:t>
      </w:r>
      <w:r>
        <w:rPr>
          <w:rFonts w:hint="eastAsia" w:ascii="宋体" w:hAnsi="宋体" w:eastAsia="宋体" w:cs="宋体"/>
          <w:sz w:val="24"/>
          <w:lang w:val="en-US" w:eastAsia="zh-CN"/>
        </w:rPr>
        <w:t xml:space="preserve">点</w:t>
      </w:r>
      <w:r>
        <w:rPr>
          <w:rFonts w:hint="eastAsia" w:ascii="宋体" w:hAnsi="宋体" w:eastAsia="宋体" w:cs="宋体"/>
          <w:sz w:val="24"/>
        </w:rPr>
        <w:t xml:space="preserve">位可实时监控周边半径不小于1公里范围内。同时采用有线光纤等传输方式将视频监控图像及信号传回监控中心，监控中心可采用大屏显示前端监控视频图像等信息，本次安装利用高空监控点位进行高空安装。</w:t>
      </w:r>
      <w:r/>
    </w:p>
    <w:p>
      <w:pPr>
        <w:ind w:firstLine="480"/>
        <w:jc w:val="left"/>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高空监控</w:t>
      </w:r>
      <w:r>
        <w:rPr>
          <w:rFonts w:hint="eastAsia" w:ascii="宋体" w:hAnsi="宋体" w:eastAsia="宋体" w:cs="宋体"/>
          <w:sz w:val="24"/>
          <w:lang w:val="en-US" w:eastAsia="zh-CN"/>
        </w:rPr>
        <w:t xml:space="preserve">点位</w:t>
      </w:r>
      <w:r>
        <w:rPr>
          <w:rFonts w:hint="eastAsia" w:ascii="宋体" w:hAnsi="宋体" w:eastAsia="宋体" w:cs="宋体"/>
          <w:sz w:val="24"/>
        </w:rPr>
        <w:t xml:space="preserve">要求偏差位置小于50米（含50米），平台高度不低于30米，荷载能力不低于100kg。</w:t>
      </w:r>
      <w:r/>
    </w:p>
    <w:tbl>
      <w:tblPr>
        <w:tblStyle w:val="76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412"/>
        <w:gridCol w:w="7107"/>
      </w:tblGrid>
      <w:tr>
        <w:trPr>
          <w:jc w:val="center"/>
          <w:trHeight w:val="285"/>
        </w:trPr>
        <w:tc>
          <w:tcPr>
            <w:tcBorders>
              <w:top w:val="single" w:color="000000" w:sz="4" w:space="0"/>
              <w:left w:val="single" w:color="000000" w:sz="4" w:space="0"/>
              <w:bottom w:val="single" w:color="000000" w:sz="4" w:space="0"/>
              <w:right w:val="single" w:color="000000" w:sz="4" w:space="0"/>
            </w:tcBorders>
            <w:tcW w:w="829"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4170"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高空监控规划点位学校（官方名称）</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29"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4170" w:type="pct"/>
            <w:vAlign w:val="center"/>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江苏省响水中学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9"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4170" w:type="pct"/>
            <w:vAlign w:val="center"/>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响水县周集实验学校</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9"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4170" w:type="pct"/>
            <w:vAlign w:val="center"/>
            <w:textDirection w:val="lrTb"/>
            <w:noWrap/>
          </w:tcPr>
          <w:p>
            <w:pPr>
              <w:jc w:val="center"/>
              <w:spacing w:before="60" w:after="60" w:line="420" w:lineRule="exact"/>
              <w:widowControl/>
              <w:rPr>
                <w:rFonts w:hint="eastAsia" w:ascii="宋体" w:hAnsi="宋体" w:eastAsia="宋体" w:cs="宋体"/>
                <w:sz w:val="24"/>
              </w:rPr>
            </w:pPr>
            <w:r>
              <w:fldChar w:fldCharType="begin"/>
            </w:r>
            <w:r>
              <w:instrText xml:space="preserve"> HYPERLINK "http://www.cnki.com.cn/Article/CJFDTotal-XISS202403053.htm" \t "_blank" </w:instrText>
            </w:r>
            <w:r>
              <w:fldChar w:fldCharType="separate"/>
            </w:r>
            <w:r>
              <w:t xml:space="preserve">响水县张集实验学校</w:t>
            </w:r>
            <w:r>
              <w:fldChar w:fldCharType="end"/>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9"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4170" w:type="pct"/>
            <w:vAlign w:val="center"/>
            <w:textDirection w:val="lrTb"/>
            <w:noWrap/>
          </w:tcPr>
          <w:p>
            <w:pPr>
              <w:jc w:val="center"/>
              <w:spacing w:before="60" w:after="60" w:line="420" w:lineRule="exact"/>
              <w:widowControl/>
              <w:rPr>
                <w:rFonts w:hint="eastAsia" w:ascii="宋体" w:hAnsi="宋体" w:eastAsia="宋体" w:cs="宋体"/>
                <w:sz w:val="24"/>
              </w:rPr>
            </w:pPr>
            <w:r>
              <w:rPr>
                <w:rFonts w:ascii="宋体" w:hAnsi="宋体" w:eastAsia="宋体" w:cs="宋体"/>
                <w:sz w:val="24"/>
              </w:rPr>
              <w:t xml:space="preserve">响水县小尖中学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9"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4170" w:type="pct"/>
            <w:vAlign w:val="center"/>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响水县银河路小学</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829" w:type="pct"/>
            <w:vAlign w:val="bottom"/>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4170" w:type="pct"/>
            <w:vAlign w:val="center"/>
            <w:textDirection w:val="lrTb"/>
            <w:noWrap/>
          </w:tcPr>
          <w:p>
            <w:pPr>
              <w:jc w:val="center"/>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响水县老舍中心小学</w:t>
            </w:r>
            <w:r/>
          </w:p>
        </w:tc>
      </w:tr>
    </w:tbl>
    <w:p>
      <w:pPr>
        <w:ind w:firstLine="480"/>
        <w:jc w:val="left"/>
        <w:spacing w:before="60" w:after="60" w:line="420" w:lineRule="exact"/>
        <w:widowControl/>
        <w:rPr>
          <w:rFonts w:hint="default" w:ascii="宋体" w:hAnsi="宋体" w:eastAsia="宋体" w:cs="宋体"/>
          <w:b/>
          <w:bCs/>
          <w:sz w:val="24"/>
          <w:lang w:val="en-US" w:eastAsia="zh-CN"/>
        </w:rPr>
      </w:pPr>
      <w:r>
        <w:rPr>
          <w:rFonts w:hint="eastAsia" w:ascii="宋体" w:hAnsi="宋体" w:eastAsia="宋体" w:cs="宋体"/>
          <w:sz w:val="24"/>
          <w:lang w:val="en-US" w:eastAsia="zh-CN" w:bidi="ar"/>
        </w:rPr>
        <w:t xml:space="preserve">供应商</w:t>
      </w:r>
      <w:r>
        <w:rPr>
          <w:rFonts w:hint="eastAsia" w:ascii="宋体" w:hAnsi="宋体" w:eastAsia="宋体" w:cs="宋体"/>
          <w:sz w:val="24"/>
          <w:lang w:bidi="ar"/>
        </w:rPr>
        <w:t xml:space="preserve">提供高空监控规划点位照片及经纬度</w:t>
      </w:r>
      <w:r>
        <w:rPr>
          <w:rFonts w:hint="eastAsia" w:ascii="宋体" w:hAnsi="宋体" w:eastAsia="宋体" w:cs="宋体"/>
          <w:sz w:val="24"/>
          <w:lang w:val="en-US" w:eastAsia="zh-CN" w:bidi="ar"/>
        </w:rPr>
        <w:t xml:space="preserve">的优先，同时中标后一周内需提供点位产权授权。</w:t>
      </w:r>
      <w:r/>
    </w:p>
    <w:p>
      <w:pPr>
        <w:ind w:firstLine="482"/>
        <w:jc w:val="left"/>
        <w:spacing w:before="60" w:after="60" w:line="420" w:lineRule="exact"/>
        <w:widowControl/>
        <w:rPr>
          <w:rFonts w:hint="eastAsia" w:ascii="宋体" w:hAnsi="宋体" w:eastAsia="宋体" w:cs="宋体"/>
          <w:b/>
          <w:bCs/>
          <w:sz w:val="24"/>
        </w:rPr>
      </w:pPr>
      <w:r>
        <w:rPr>
          <w:rFonts w:hint="eastAsia" w:ascii="宋体" w:hAnsi="宋体" w:eastAsia="宋体" w:cs="宋体"/>
          <w:b/>
          <w:bCs/>
          <w:sz w:val="24"/>
        </w:rPr>
        <w:t xml:space="preserve">三、合同履行期限</w:t>
      </w:r>
      <w:r/>
    </w:p>
    <w:p>
      <w:pPr>
        <w:ind w:firstLine="480"/>
        <w:jc w:val="left"/>
        <w:spacing w:before="60" w:after="60" w:line="420" w:lineRule="exact"/>
        <w:widowControl/>
        <w:rPr>
          <w:rFonts w:hint="eastAsia" w:ascii="宋体" w:hAnsi="宋体" w:eastAsia="宋体" w:cs="宋体"/>
          <w:sz w:val="24"/>
        </w:rPr>
      </w:pPr>
      <w:r>
        <w:rPr>
          <w:rFonts w:hint="eastAsia" w:ascii="宋体" w:hAnsi="宋体" w:eastAsia="宋体" w:cs="宋体"/>
          <w:sz w:val="24"/>
        </w:rPr>
        <w:t xml:space="preserve">合同签订后90个日历天完成供货（安装）并交付使用。</w:t>
      </w:r>
      <w:r/>
    </w:p>
    <w:p>
      <w:pPr>
        <w:ind w:firstLine="482"/>
        <w:jc w:val="left"/>
        <w:spacing w:before="60" w:after="60" w:line="420" w:lineRule="exact"/>
        <w:widowControl/>
        <w:rPr>
          <w:rFonts w:hint="eastAsia" w:ascii="宋体" w:hAnsi="宋体" w:eastAsia="宋体" w:cs="宋体"/>
          <w:sz w:val="24"/>
          <w:highlight w:val="none"/>
        </w:rPr>
      </w:pPr>
      <w:r>
        <w:rPr>
          <w:rFonts w:hint="eastAsia" w:ascii="宋体" w:hAnsi="宋体" w:eastAsia="宋体" w:cs="宋体"/>
          <w:b/>
          <w:bCs/>
          <w:sz w:val="24"/>
        </w:rPr>
        <w:t xml:space="preserve">四、</w:t>
      </w:r>
      <w:r>
        <w:rPr>
          <w:rFonts w:hint="eastAsia" w:ascii="宋体" w:hAnsi="宋体" w:eastAsia="宋体" w:cs="宋体"/>
          <w:b/>
          <w:bCs/>
          <w:sz w:val="24"/>
          <w:highlight w:val="none"/>
        </w:rPr>
        <w:t xml:space="preserve">投标要求</w:t>
      </w:r>
      <w:r/>
    </w:p>
    <w:p>
      <w:pPr>
        <w:ind w:firstLine="480"/>
        <w:spacing w:before="60" w:after="60" w:line="42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1.供应商具有</w:t>
      </w:r>
      <w:r>
        <w:rPr>
          <w:rFonts w:hint="eastAsia" w:ascii="宋体" w:hAnsi="宋体" w:eastAsia="宋体" w:cs="宋体"/>
          <w:sz w:val="24"/>
          <w:highlight w:val="none"/>
          <w:lang w:bidi="ar"/>
        </w:rPr>
        <w:t xml:space="preserve">有效的信息安全管理体系认证证书、信息技术服务管理体系认证证书</w:t>
      </w:r>
      <w:r>
        <w:rPr>
          <w:rFonts w:hint="eastAsia" w:ascii="宋体" w:hAnsi="宋体" w:eastAsia="宋体" w:cs="宋体"/>
          <w:sz w:val="24"/>
          <w:highlight w:val="none"/>
          <w:lang w:eastAsia="zh-CN" w:bidi="ar"/>
        </w:rPr>
        <w:t xml:space="preserve">的</w:t>
      </w:r>
      <w:r>
        <w:rPr>
          <w:rFonts w:hint="eastAsia" w:ascii="宋体" w:hAnsi="宋体" w:eastAsia="宋体" w:cs="宋体"/>
          <w:sz w:val="24"/>
          <w:highlight w:val="none"/>
          <w:lang w:val="en-US" w:eastAsia="zh-CN" w:bidi="ar"/>
        </w:rPr>
        <w:t xml:space="preserve">优先</w:t>
      </w:r>
      <w:r>
        <w:rPr>
          <w:rFonts w:hint="eastAsia" w:ascii="宋体" w:hAnsi="宋体" w:eastAsia="宋体" w:cs="宋体"/>
          <w:sz w:val="24"/>
          <w:highlight w:val="none"/>
        </w:rPr>
        <w:t xml:space="preserve">，中标人应承诺严格执行招标文件要求和有关技术标准、规范要求，保质、保量、按时完成工作。</w:t>
      </w:r>
      <w:r/>
    </w:p>
    <w:p>
      <w:pPr>
        <w:pStyle w:val="788"/>
        <w:ind w:firstLine="480"/>
        <w:jc w:val="both"/>
        <w:spacing w:before="60" w:beforeAutospacing="0" w:after="60" w:afterAutospacing="0" w:line="420" w:lineRule="exact"/>
        <w:rPr>
          <w:rFonts w:hint="eastAsia" w:ascii="宋体" w:hAnsi="宋体" w:eastAsia="宋体" w:cs="宋体"/>
        </w:rPr>
      </w:pPr>
      <w:r>
        <w:rPr>
          <w:rFonts w:hint="eastAsia" w:ascii="宋体" w:hAnsi="宋体" w:eastAsia="宋体" w:cs="宋体"/>
          <w:highlight w:val="none"/>
        </w:rPr>
        <w:t xml:space="preserve">2.根据项目需求应</w:t>
      </w:r>
      <w:r>
        <w:rPr>
          <w:rFonts w:hint="eastAsia" w:ascii="宋体" w:hAnsi="宋体" w:eastAsia="宋体" w:cs="宋体"/>
        </w:rPr>
        <w:t xml:space="preserve">制定</w:t>
      </w:r>
      <w:r>
        <w:rPr>
          <w:rFonts w:hint="eastAsia" w:ascii="宋体" w:hAnsi="宋体" w:eastAsia="宋体" w:cs="宋体"/>
          <w:lang w:bidi="ar"/>
        </w:rPr>
        <w:t xml:space="preserve">各系统技术方案</w:t>
      </w:r>
      <w:r>
        <w:rPr>
          <w:rFonts w:hint="eastAsia" w:ascii="宋体" w:hAnsi="宋体" w:eastAsia="宋体" w:cs="宋体"/>
        </w:rPr>
        <w:t xml:space="preserve">，内容应当包括但不限于以下内容：</w:t>
      </w:r>
      <w:r>
        <w:rPr>
          <w:rFonts w:hint="eastAsia" w:ascii="宋体" w:hAnsi="宋体" w:eastAsia="宋体" w:cs="宋体"/>
          <w:lang w:bidi="ar"/>
        </w:rPr>
        <w:t xml:space="preserve">1）本项目深度了解及分析及项目系统架构表述；2）产品的性能分析及方案的兼容性可扩展性；3）各系统设备连接，设备分布及布局优化；4）技术力量保障措施；5）项目网络组网方案及网络安全可靠性</w:t>
      </w:r>
      <w:r>
        <w:rPr>
          <w:rFonts w:hint="eastAsia" w:ascii="宋体" w:hAnsi="宋体" w:eastAsia="宋体" w:cs="宋体"/>
        </w:rPr>
        <w:t xml:space="preserve">。</w:t>
      </w:r>
      <w:r/>
    </w:p>
    <w:p>
      <w:pPr>
        <w:pStyle w:val="788"/>
        <w:ind w:firstLine="480"/>
        <w:jc w:val="both"/>
        <w:spacing w:before="60" w:beforeAutospacing="0" w:after="60" w:afterAutospacing="0" w:line="420" w:lineRule="exact"/>
        <w:rPr>
          <w:rFonts w:hint="eastAsia" w:ascii="宋体" w:hAnsi="宋体" w:eastAsia="宋体" w:cs="宋体"/>
        </w:rPr>
      </w:pPr>
      <w:r>
        <w:rPr>
          <w:rFonts w:hint="eastAsia" w:ascii="宋体" w:hAnsi="宋体" w:eastAsia="宋体" w:cs="宋体"/>
        </w:rPr>
        <w:t xml:space="preserve">3.根据项目需求应制定</w:t>
      </w:r>
      <w:r>
        <w:rPr>
          <w:rFonts w:hint="eastAsia" w:ascii="宋体" w:hAnsi="宋体" w:eastAsia="宋体" w:cs="宋体"/>
          <w:lang w:bidi="ar"/>
        </w:rPr>
        <w:t xml:space="preserve">项目施工方案</w:t>
      </w:r>
      <w:r>
        <w:rPr>
          <w:rFonts w:hint="eastAsia" w:ascii="宋体" w:hAnsi="宋体" w:eastAsia="宋体" w:cs="宋体"/>
        </w:rPr>
        <w:t xml:space="preserve">，内容应当包括但不限于以下内容：</w:t>
      </w:r>
      <w:r>
        <w:rPr>
          <w:rFonts w:hint="eastAsia" w:ascii="宋体" w:hAnsi="宋体" w:eastAsia="宋体" w:cs="宋体"/>
          <w:lang w:bidi="ar"/>
        </w:rPr>
        <w:t xml:space="preserve">1）施工前准备；2）进度计划；3）实施流程；4）施工安全保障措施；5）项目施工人员保障措施；6）设备质量保障措施；7）施工质量保障；8）文明施工；9）验收方案；10）项目培训大纲等</w:t>
      </w:r>
      <w:r>
        <w:rPr>
          <w:rFonts w:hint="eastAsia" w:ascii="宋体" w:hAnsi="宋体" w:eastAsia="宋体" w:cs="宋体"/>
        </w:rPr>
        <w:t xml:space="preserve">。</w:t>
      </w:r>
      <w:r/>
    </w:p>
    <w:p>
      <w:pPr>
        <w:pStyle w:val="788"/>
        <w:ind w:firstLine="480"/>
        <w:jc w:val="both"/>
        <w:spacing w:before="60" w:beforeAutospacing="0" w:after="60" w:afterAutospacing="0" w:line="420" w:lineRule="exact"/>
        <w:rPr>
          <w:rFonts w:hint="eastAsia" w:ascii="宋体" w:hAnsi="宋体" w:eastAsia="宋体" w:cs="宋体"/>
          <w:lang w:bidi="ar"/>
        </w:rPr>
      </w:pPr>
      <w:r>
        <w:rPr>
          <w:rFonts w:hint="eastAsia" w:ascii="宋体" w:hAnsi="宋体" w:eastAsia="宋体" w:cs="宋体"/>
        </w:rPr>
        <w:t xml:space="preserve">4.根据项目需求应制定</w:t>
      </w:r>
      <w:r>
        <w:rPr>
          <w:rFonts w:hint="eastAsia" w:ascii="宋体" w:hAnsi="宋体" w:eastAsia="宋体" w:cs="宋体"/>
          <w:lang w:bidi="ar"/>
        </w:rPr>
        <w:t xml:space="preserve">售后服务方案</w:t>
      </w:r>
      <w:r>
        <w:rPr>
          <w:rFonts w:hint="eastAsia" w:ascii="宋体" w:hAnsi="宋体" w:eastAsia="宋体" w:cs="宋体"/>
        </w:rPr>
        <w:t xml:space="preserve">，内容应当包括但不限于以下内容：</w:t>
      </w:r>
      <w:r>
        <w:rPr>
          <w:rFonts w:hint="eastAsia" w:ascii="宋体" w:hAnsi="宋体" w:eastAsia="宋体" w:cs="宋体"/>
          <w:lang w:bidi="ar"/>
        </w:rPr>
        <w:t xml:space="preserve">1）售后服务计划；2）保修期内每个子系统的备品备件完善情况；3）人员配置；4）障碍修复时间、应急保障等。</w:t>
      </w:r>
      <w:r/>
    </w:p>
    <w:p>
      <w:pPr>
        <w:pStyle w:val="788"/>
        <w:ind w:firstLine="480"/>
        <w:jc w:val="both"/>
        <w:spacing w:before="60" w:beforeAutospacing="0" w:after="60" w:afterAutospacing="0" w:line="420" w:lineRule="exact"/>
        <w:rPr>
          <w:rFonts w:hint="eastAsia" w:ascii="宋体" w:hAnsi="宋体" w:eastAsia="宋体" w:cs="宋体"/>
        </w:rPr>
      </w:pPr>
      <w:r>
        <w:rPr>
          <w:rFonts w:hint="eastAsia" w:ascii="宋体" w:hAnsi="宋体" w:eastAsia="宋体" w:cs="宋体"/>
          <w:lang w:bidi="ar"/>
        </w:rPr>
        <w:t xml:space="preserve">5.供应商提供</w:t>
      </w:r>
      <w:r>
        <w:rPr>
          <w:rFonts w:hint="eastAsia" w:ascii="宋体" w:hAnsi="宋体" w:eastAsia="宋体" w:cs="宋体"/>
        </w:rPr>
        <w:t xml:space="preserve">运管平台的演示视频</w:t>
      </w:r>
      <w:r>
        <w:rPr>
          <w:rFonts w:hint="eastAsia" w:ascii="宋体" w:hAnsi="宋体" w:eastAsia="宋体" w:cs="宋体"/>
          <w:lang w:val="en-US" w:eastAsia="zh-CN"/>
        </w:rPr>
        <w:t xml:space="preserve">优先</w:t>
      </w:r>
      <w:r>
        <w:rPr>
          <w:rFonts w:hint="eastAsia" w:ascii="宋体" w:hAnsi="宋体" w:eastAsia="宋体" w:cs="宋体"/>
        </w:rPr>
        <w:t xml:space="preserve">。</w:t>
      </w:r>
      <w:r/>
    </w:p>
    <w:p>
      <w:pPr>
        <w:pStyle w:val="788"/>
        <w:ind w:firstLine="482"/>
        <w:jc w:val="both"/>
        <w:spacing w:before="60" w:beforeAutospacing="0" w:after="60" w:afterAutospacing="0" w:line="420" w:lineRule="exact"/>
        <w:rPr>
          <w:rFonts w:hint="eastAsia" w:ascii="宋体" w:hAnsi="宋体" w:eastAsia="宋体" w:cs="宋体"/>
        </w:rPr>
      </w:pPr>
      <w:r>
        <w:rPr>
          <w:rFonts w:hint="eastAsia" w:ascii="宋体" w:hAnsi="宋体" w:eastAsia="宋体" w:cs="宋体"/>
          <w:b/>
          <w:bCs/>
        </w:rPr>
        <w:t xml:space="preserve">五、验收要求及程序</w:t>
      </w:r>
      <w:r/>
    </w:p>
    <w:p>
      <w:pPr>
        <w:pStyle w:val="788"/>
        <w:ind w:firstLine="480"/>
        <w:jc w:val="both"/>
        <w:spacing w:before="60" w:beforeAutospacing="0" w:after="60" w:afterAutospacing="0" w:line="420" w:lineRule="exact"/>
        <w:rPr>
          <w:rFonts w:hint="eastAsia" w:ascii="宋体" w:hAnsi="宋体" w:eastAsia="宋体" w:cs="宋体"/>
        </w:rPr>
      </w:pPr>
      <w:r>
        <w:rPr>
          <w:rFonts w:hint="eastAsia" w:ascii="宋体" w:hAnsi="宋体" w:eastAsia="宋体" w:cs="宋体"/>
        </w:rPr>
        <w:t xml:space="preserve">1.中标方除应为本项目服务相关人员提供必要的劳动保护条件外，还应为其办理作业时的人身安全保险和意外伤害险。一切安全责任事故均由中标供应商负责（保险种类由中标供应商自行选择）。</w:t>
      </w:r>
      <w:r/>
    </w:p>
    <w:p>
      <w:pPr>
        <w:pStyle w:val="788"/>
        <w:ind w:firstLine="480"/>
        <w:jc w:val="both"/>
        <w:spacing w:before="60" w:beforeAutospacing="0" w:after="60" w:afterAutospacing="0" w:line="420" w:lineRule="exact"/>
        <w:rPr>
          <w:rFonts w:hint="eastAsia" w:ascii="宋体" w:hAnsi="宋体" w:eastAsia="宋体" w:cs="宋体"/>
        </w:rPr>
      </w:pPr>
      <w:r>
        <w:rPr>
          <w:rFonts w:hint="eastAsia" w:ascii="宋体" w:hAnsi="宋体" w:eastAsia="宋体" w:cs="宋体"/>
        </w:rPr>
        <w:t xml:space="preserve">2.设备设施等搭建、使用、维护、拆除期间造成的所有人身、财产损失由中标方承担并赔偿所有损失。 </w:t>
      </w:r>
      <w:r/>
    </w:p>
    <w:p>
      <w:pPr>
        <w:pStyle w:val="788"/>
        <w:ind w:firstLine="480"/>
        <w:jc w:val="both"/>
        <w:spacing w:before="60" w:beforeAutospacing="0" w:after="60" w:afterAutospacing="0" w:line="420" w:lineRule="exact"/>
        <w:rPr>
          <w:rFonts w:hint="eastAsia" w:ascii="宋体" w:hAnsi="宋体" w:eastAsia="宋体" w:cs="宋体"/>
        </w:rPr>
      </w:pPr>
      <w:r>
        <w:rPr>
          <w:rFonts w:hint="eastAsia" w:ascii="宋体" w:hAnsi="宋体" w:eastAsia="宋体" w:cs="宋体"/>
        </w:rPr>
        <w:t xml:space="preserve">3.货物到达指定地点后，使用方参与货物清单的清点以及对应的原材料的审核，确认无误后方可进场。竣工验收，项目试运行无误后，方可支付相关款项。</w:t>
      </w:r>
      <w:r/>
    </w:p>
    <w:p>
      <w:pPr>
        <w:pStyle w:val="788"/>
        <w:ind w:firstLine="482"/>
        <w:jc w:val="both"/>
        <w:spacing w:before="60" w:beforeAutospacing="0" w:after="60" w:afterAutospacing="0" w:line="420" w:lineRule="exact"/>
        <w:rPr>
          <w:rFonts w:hint="eastAsia" w:ascii="宋体" w:hAnsi="宋体" w:eastAsia="宋体" w:cs="宋体"/>
          <w:b/>
          <w:bCs/>
        </w:rPr>
      </w:pPr>
      <w:r>
        <w:rPr>
          <w:rFonts w:hint="eastAsia" w:ascii="宋体" w:hAnsi="宋体" w:eastAsia="宋体" w:cs="宋体"/>
          <w:b/>
          <w:bCs/>
        </w:rPr>
        <w:t xml:space="preserve">六、其他要求</w:t>
      </w:r>
      <w:r/>
    </w:p>
    <w:p>
      <w:pPr>
        <w:pStyle w:val="788"/>
        <w:ind w:firstLine="480"/>
        <w:jc w:val="both"/>
        <w:spacing w:before="60" w:beforeAutospacing="0" w:after="60" w:afterAutospacing="0" w:line="420" w:lineRule="exact"/>
        <w:rPr>
          <w:rFonts w:hint="eastAsia" w:ascii="宋体" w:hAnsi="宋体" w:eastAsia="宋体" w:cs="宋体"/>
          <w:b/>
          <w:bCs/>
          <w:i/>
          <w:iCs/>
          <w:u w:val="single"/>
        </w:rPr>
      </w:pPr>
      <w:r>
        <w:rPr>
          <w:rFonts w:hint="eastAsia" w:ascii="宋体" w:hAnsi="宋体" w:eastAsia="宋体" w:cs="宋体"/>
        </w:rPr>
        <w:t xml:space="preserve">1.核心产品：400万双光警戒枪型网络摄像机，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88"/>
        <w:ind w:firstLine="480"/>
        <w:jc w:val="both"/>
        <w:spacing w:before="60" w:beforeAutospacing="0" w:after="60" w:afterAutospacing="0" w:line="420" w:lineRule="exact"/>
        <w:rPr>
          <w:rFonts w:hint="eastAsia" w:ascii="宋体" w:hAnsi="宋体" w:eastAsia="宋体" w:cs="宋体"/>
        </w:rPr>
      </w:pPr>
      <w:r>
        <w:rPr>
          <w:rFonts w:hint="eastAsia" w:ascii="宋体" w:hAnsi="宋体" w:eastAsia="宋体" w:cs="宋体"/>
        </w:rPr>
        <w:t xml:space="preserve">2.免费质保期：三年。(自出具验收合格报告并交付使用之日起算)。乙方应以优良的服务态度，便利、快捷的方式在2小时内响应，12小时内解决使用单位提出的维修要求。</w:t>
      </w:r>
      <w:r/>
    </w:p>
    <w:p>
      <w:pPr>
        <w:pStyle w:val="788"/>
        <w:ind w:firstLine="480"/>
        <w:jc w:val="both"/>
        <w:spacing w:before="60" w:beforeAutospacing="0" w:after="60" w:afterAutospacing="0" w:line="420" w:lineRule="exact"/>
        <w:rPr>
          <w:rFonts w:hint="default" w:ascii="宋体" w:hAnsi="宋体" w:eastAsia="宋体" w:cs="宋体"/>
          <w:lang w:val="en-US" w:eastAsia="zh-CN"/>
        </w:rPr>
      </w:pPr>
      <w:r>
        <w:rPr>
          <w:rFonts w:hint="eastAsia" w:ascii="宋体" w:hAnsi="宋体" w:eastAsia="宋体" w:cs="宋体"/>
        </w:rPr>
        <w:t xml:space="preserve">3.本项目包含</w:t>
      </w:r>
      <w:r>
        <w:rPr>
          <w:rFonts w:hint="eastAsia" w:ascii="宋体" w:hAnsi="宋体" w:eastAsia="宋体" w:cs="宋体"/>
          <w:lang w:val="en-US" w:eastAsia="zh-CN"/>
        </w:rPr>
        <w:t xml:space="preserve">全县</w:t>
      </w:r>
      <w:r>
        <w:rPr>
          <w:rFonts w:hint="eastAsia" w:ascii="宋体" w:hAnsi="宋体" w:eastAsia="宋体" w:cs="宋体"/>
        </w:rPr>
        <w:t xml:space="preserve">66所公办学校和24所民办学校大门口监控接入平台的</w:t>
      </w:r>
      <w:r>
        <w:rPr>
          <w:rFonts w:hint="eastAsia" w:ascii="宋体" w:hAnsi="宋体" w:eastAsia="宋体" w:cs="宋体"/>
          <w:lang w:val="en-US" w:eastAsia="zh-CN"/>
        </w:rPr>
        <w:t xml:space="preserve">线路及</w:t>
      </w:r>
      <w:r>
        <w:rPr>
          <w:rFonts w:hint="eastAsia" w:ascii="宋体" w:hAnsi="宋体" w:eastAsia="宋体" w:cs="宋体"/>
        </w:rPr>
        <w:t xml:space="preserve">调测费用。</w:t>
      </w:r>
      <w:r>
        <w:rPr>
          <w:rFonts w:hint="eastAsia" w:ascii="宋体" w:hAnsi="宋体" w:eastAsia="宋体" w:cs="宋体"/>
          <w:lang w:val="en-US" w:eastAsia="zh-CN"/>
        </w:rPr>
        <w:t xml:space="preserve">通信线路须提供免费调测、7*24小时运维及故障抢修、全程独享、物理隔离，运行稳定可靠，满足项目长期不间断使用需求。中标人须对全县所有校园通信网络进行扩容提升，确保本项目流畅传输，数据安全稳定。</w:t>
      </w:r>
      <w:r/>
    </w:p>
    <w:p>
      <w:pPr>
        <w:pStyle w:val="788"/>
        <w:ind w:firstLine="480"/>
        <w:jc w:val="both"/>
        <w:spacing w:before="60" w:beforeAutospacing="0" w:after="60" w:afterAutospacing="0" w:line="420" w:lineRule="exact"/>
        <w:rPr>
          <w:rFonts w:hint="default" w:ascii="宋体" w:hAnsi="宋体" w:eastAsia="宋体" w:cs="宋体"/>
          <w:lang w:val="en-US" w:eastAsia="zh-CN"/>
        </w:rPr>
      </w:pPr>
      <w:r>
        <w:rPr>
          <w:rFonts w:hint="eastAsia" w:ascii="宋体" w:hAnsi="宋体" w:eastAsia="宋体" w:cs="宋体"/>
          <w:lang w:val="en-US" w:eastAsia="zh-CN"/>
        </w:rPr>
        <w:t xml:space="preserve">4.本项目需预留响水县城市驾驶舱平台全兼容、可开放的对接接口以及配套数据权限，中标人在接口开发、联调测试、技术适配全流程工作中，须和相关建设单位保持无障碍沟通，确保本项目后期能</w:t>
      </w:r>
      <w:bookmarkStart w:id="259" w:name="_GoBack"/>
      <w:r/>
      <w:bookmarkEnd w:id="259"/>
      <w:r>
        <w:rPr>
          <w:rFonts w:hint="eastAsia" w:ascii="宋体" w:hAnsi="宋体" w:eastAsia="宋体" w:cs="宋体"/>
          <w:lang w:val="en-US" w:eastAsia="zh-CN"/>
        </w:rPr>
        <w:t xml:space="preserve">与城市驾驶舱平台实现无缝对接、稳定贯通、数据双向交互，确保数据安全。</w:t>
      </w:r>
      <w:r/>
    </w:p>
    <w:p>
      <w:pPr>
        <w:pStyle w:val="788"/>
        <w:ind w:firstLine="482"/>
        <w:jc w:val="both"/>
        <w:spacing w:before="60" w:beforeAutospacing="0" w:after="60" w:afterAutospacing="0" w:line="420" w:lineRule="exact"/>
        <w:rPr>
          <w:rFonts w:hint="eastAsia" w:ascii="宋体" w:hAnsi="宋体" w:eastAsia="宋体" w:cs="宋体"/>
          <w:b/>
          <w:bCs/>
        </w:rPr>
      </w:pPr>
      <w:r>
        <w:rPr>
          <w:rFonts w:hint="eastAsia" w:ascii="宋体" w:hAnsi="宋体" w:eastAsia="宋体" w:cs="宋体"/>
          <w:b/>
          <w:bCs/>
          <w:lang w:val="en-US" w:eastAsia="zh-CN"/>
        </w:rPr>
        <w:t xml:space="preserve">5</w:t>
      </w:r>
      <w:r>
        <w:rPr>
          <w:rFonts w:hint="eastAsia" w:ascii="宋体" w:hAnsi="宋体" w:eastAsia="宋体" w:cs="宋体"/>
          <w:b/>
          <w:bCs/>
        </w:rPr>
        <w:t xml:space="preserve">.产品要求：为保证产品质量，对于标“▲”的重要参数投标人须提供满足招标文件要求的具备CMA认证测试检测报告彩色扫描件并加盖投标人公章进行佐证。</w:t>
      </w:r>
      <w:r/>
    </w:p>
    <w:p>
      <w:pPr>
        <w:ind w:firstLine="482"/>
        <w:jc w:val="left"/>
        <w:spacing w:before="60" w:after="60" w:line="420" w:lineRule="exact"/>
        <w:widowControl/>
        <w:rPr>
          <w:rFonts w:hint="eastAsia" w:ascii="宋体" w:hAnsi="宋体" w:eastAsia="宋体" w:cs="宋体"/>
          <w:b/>
          <w:bCs/>
          <w:sz w:val="24"/>
        </w:rPr>
      </w:pPr>
      <w:r>
        <w:rPr>
          <w:rFonts w:hint="eastAsia" w:ascii="宋体" w:hAnsi="宋体" w:eastAsia="宋体" w:cs="宋体"/>
          <w:b/>
          <w:bCs/>
          <w:sz w:val="24"/>
        </w:rPr>
        <w:t xml:space="preserve">六、付款方式</w:t>
      </w:r>
      <w:r/>
    </w:p>
    <w:p>
      <w:pPr>
        <w:ind w:firstLine="480"/>
        <w:jc w:val="left"/>
        <w:spacing w:before="60" w:after="60" w:line="420" w:lineRule="exact"/>
        <w:widowControl/>
        <w:rPr>
          <w:rFonts w:hint="eastAsia" w:ascii="宋体" w:hAnsi="宋体" w:eastAsia="宋体" w:cs="宋体"/>
          <w:sz w:val="24"/>
          <w:u w:val="single"/>
        </w:rPr>
      </w:pPr>
      <w:r>
        <w:rPr>
          <w:rFonts w:hint="eastAsia" w:ascii="宋体" w:hAnsi="宋体" w:eastAsia="宋体" w:cs="宋体"/>
          <w:sz w:val="24"/>
          <w:u w:val="single"/>
        </w:rPr>
        <w:t xml:space="preserve">合同签订后付至合同价的30%作为预付款，项目全部完成验收合格交付使用后付至合同价的40%，自验收合格之日起，满一年付至审定价的70%，满二年付至审定价的95%，剩余部分质保期满结清。其中涉及预付款的：合同签订后付至合同价的30%作为预付款（合同签订时，供应商明确表示无需预付款或者主动要求降低预付款比例的由双方另行商定。）</w:t>
      </w:r>
      <w:r/>
    </w:p>
    <w:p>
      <w:pPr>
        <w:ind w:left="-210" w:firstLine="482"/>
        <w:jc w:val="left"/>
        <w:spacing w:line="440" w:lineRule="exact"/>
        <w:widowControl/>
        <w:rPr>
          <w:rFonts w:hint="eastAsia" w:ascii="宋体" w:hAnsi="宋体" w:cs="宋体"/>
          <w:b/>
          <w:bCs/>
          <w:sz w:val="24"/>
        </w:rPr>
      </w:pPr>
      <w:r>
        <w:rPr>
          <w:rFonts w:hint="eastAsia" w:ascii="宋体" w:hAnsi="宋体" w:cs="宋体"/>
          <w:b/>
          <w:bCs/>
          <w:sz w:val="24"/>
        </w:rPr>
        <w:t xml:space="preserve">七、采购标的对应的中小企业划分标准所属行业一览表</w:t>
      </w:r>
      <w:r/>
    </w:p>
    <w:tbl>
      <w:tblPr>
        <w:tblStyle w:val="767"/>
        <w:tblW w:w="4998"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836"/>
        <w:gridCol w:w="4457"/>
        <w:gridCol w:w="3246"/>
      </w:tblGrid>
      <w:tr>
        <w:trPr>
          <w:jc w:val="center"/>
          <w:tblCellSpacing w:w="0" w:type="dxa"/>
          <w:trHeight w:val="462"/>
        </w:trPr>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788"/>
              <w:jc w:val="center"/>
              <w:spacing w:before="60" w:beforeAutospacing="0" w:after="60" w:afterAutospacing="0" w:line="420" w:lineRule="exact"/>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2609" w:type="pct"/>
            <w:vAlign w:val="center"/>
            <w:textDirection w:val="lrTb"/>
            <w:noWrap w:val="false"/>
          </w:tcPr>
          <w:p>
            <w:pPr>
              <w:pStyle w:val="788"/>
              <w:jc w:val="center"/>
              <w:spacing w:before="60" w:beforeAutospacing="0" w:after="60" w:afterAutospacing="0" w:line="420" w:lineRule="exact"/>
            </w:pPr>
            <w:r>
              <w:rPr>
                <w:rFonts w:hint="eastAsia" w:ascii="宋体" w:hAnsi="宋体" w:eastAsia="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pStyle w:val="788"/>
              <w:jc w:val="center"/>
              <w:spacing w:before="60" w:beforeAutospacing="0" w:after="60" w:afterAutospacing="0" w:line="420" w:lineRule="exact"/>
            </w:pPr>
            <w:r>
              <w:rPr>
                <w:rFonts w:hint="eastAsia" w:ascii="宋体" w:hAnsi="宋体" w:eastAsia="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788"/>
              <w:jc w:val="center"/>
              <w:spacing w:before="60" w:beforeAutospacing="0" w:after="60" w:afterAutospacing="0" w:line="420" w:lineRule="exac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2609" w:type="pct"/>
            <w:vAlign w:val="center"/>
            <w:textDirection w:val="lrTb"/>
            <w:noWrap w:val="false"/>
          </w:tcPr>
          <w:p>
            <w:pPr>
              <w:pStyle w:val="788"/>
              <w:jc w:val="center"/>
              <w:spacing w:before="60" w:beforeAutospacing="0" w:after="60" w:afterAutospacing="0" w:line="420" w:lineRule="exact"/>
            </w:pPr>
            <w:r>
              <w:rPr>
                <w:rFonts w:hint="eastAsia"/>
              </w:rPr>
              <w:t xml:space="preserve">响水县教育局校园安防建设项目</w:t>
            </w:r>
            <w:r/>
          </w:p>
        </w:tc>
        <w:tc>
          <w:tcPr>
            <w:tcBorders>
              <w:top w:val="single" w:color="000000" w:sz="4" w:space="0"/>
              <w:left w:val="single" w:color="000000" w:sz="4" w:space="0"/>
              <w:bottom w:val="single" w:color="000000" w:sz="4" w:space="0"/>
              <w:right w:val="single" w:color="000000" w:sz="4" w:space="0"/>
            </w:tcBorders>
            <w:tcW w:w="1900" w:type="pct"/>
            <w:vAlign w:val="center"/>
            <w:textDirection w:val="lrTb"/>
            <w:noWrap w:val="false"/>
          </w:tcPr>
          <w:p>
            <w:pPr>
              <w:pStyle w:val="788"/>
              <w:jc w:val="center"/>
              <w:spacing w:before="60" w:beforeAutospacing="0" w:after="60" w:afterAutospacing="0" w:line="420" w:lineRule="exact"/>
            </w:pPr>
            <w:r>
              <w:rPr>
                <w:rFonts w:hint="eastAsia"/>
              </w:rPr>
              <w:t xml:space="preserve">工业</w:t>
            </w:r>
            <w:r/>
          </w:p>
        </w:tc>
      </w:tr>
    </w:tbl>
    <w:p>
      <w:pPr>
        <w:ind w:firstLine="3373"/>
        <w:jc w:val="left"/>
        <w:widowControl/>
        <w:rPr>
          <w:rFonts w:hint="eastAsia" w:ascii="宋体" w:hAnsi="宋体"/>
          <w:b/>
          <w:bCs/>
          <w:sz w:val="28"/>
          <w:szCs w:val="28"/>
          <w:shd w:val="clear" w:color="auto" w:fill="ffffff" w:themeFill="background1"/>
        </w:rPr>
      </w:pPr>
      <w:r>
        <w:rPr>
          <w:rFonts w:ascii="宋体" w:hAnsi="宋体"/>
          <w:b/>
          <w:bCs/>
          <w:sz w:val="28"/>
          <w:szCs w:val="28"/>
          <w:shd w:val="clear" w:color="auto" w:fill="ffffff" w:themeFill="background1"/>
        </w:rPr>
        <w:br w:type="page" w:clear="all"/>
      </w:r>
      <w:r/>
    </w:p>
    <w:p>
      <w:pPr>
        <w:pStyle w:val="788"/>
        <w:jc w:val="center"/>
        <w:spacing w:before="120" w:beforeAutospacing="0" w:after="120" w:afterAutospacing="0" w:line="0" w:lineRule="atLeast"/>
        <w:rPr>
          <w:rFonts w:hint="eastAsia" w:ascii="黑体" w:hAnsi="宋体" w:eastAsia="黑体" w:cs="黑体"/>
          <w:sz w:val="44"/>
          <w:szCs w:val="44"/>
        </w:rPr>
      </w:pPr>
      <w:r/>
      <w:bookmarkStart w:id="201" w:name="_Toc120614281"/>
      <w:r>
        <w:rPr>
          <w:rFonts w:hint="eastAsia" w:ascii="黑体" w:hAnsi="宋体" w:eastAsia="黑体" w:cs="黑体"/>
          <w:sz w:val="44"/>
          <w:szCs w:val="44"/>
        </w:rPr>
        <w:t xml:space="preserve">第五章  评标方法与评标标准</w:t>
      </w:r>
      <w:r/>
    </w:p>
    <w:p>
      <w:pPr>
        <w:pStyle w:val="788"/>
        <w:spacing w:beforeAutospacing="0" w:afterAutospacing="0"/>
      </w:pPr>
      <w:r/>
      <w:r/>
    </w:p>
    <w:p>
      <w:pPr>
        <w:ind w:firstLine="482"/>
        <w:jc w:val="left"/>
        <w:spacing w:before="5" w:after="5" w:line="4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pStyle w:val="950"/>
        <w:spacing w:before="5" w:after="5" w:line="420" w:lineRule="exact"/>
        <w:rPr>
          <w:rFonts w:hint="eastAsia" w:ascii="宋体" w:hAnsi="宋体" w:eastAsia="宋体" w:cs="宋体"/>
        </w:rPr>
      </w:pPr>
      <w:r>
        <w:rPr>
          <w:rFonts w:hint="eastAsia" w:ascii="宋体" w:hAnsi="宋体" w:eastAsia="宋体" w:cs="宋体"/>
        </w:rPr>
        <w:t xml:space="preserve">本项目采用</w:t>
      </w:r>
      <w:r>
        <w:rPr>
          <w:rFonts w:hint="eastAsia" w:ascii="宋体" w:hAnsi="宋体" w:eastAsia="宋体" w:cs="宋体"/>
          <w:u w:val="single"/>
        </w:rPr>
        <w:t xml:space="preserve"> 综合评分 </w:t>
      </w:r>
      <w:r>
        <w:rPr>
          <w:rFonts w:hint="eastAsia" w:ascii="宋体" w:hAnsi="宋体" w:eastAsia="宋体" w:cs="宋体"/>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788"/>
        <w:ind w:firstLine="482"/>
        <w:spacing w:before="5" w:beforeAutospacing="0" w:after="5" w:afterAutospacing="0" w:line="420" w:lineRule="exact"/>
        <w:rPr>
          <w:rFonts w:hint="eastAsia" w:ascii="宋体" w:hAnsi="宋体" w:eastAsia="宋体" w:cs="宋体"/>
        </w:rPr>
      </w:pPr>
      <w:r>
        <w:rPr>
          <w:rFonts w:hint="eastAsia" w:ascii="宋体" w:hAnsi="宋体" w:eastAsia="宋体" w:cs="宋体"/>
          <w:b/>
          <w:color w:val="000000"/>
        </w:rPr>
        <w:t xml:space="preserve">二、政府采购政策功能落实</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1、小微型企业价格扣除</w:t>
      </w:r>
      <w:r/>
    </w:p>
    <w:p>
      <w:pPr>
        <w:pStyle w:val="950"/>
        <w:spacing w:before="5" w:after="5" w:line="420" w:lineRule="exact"/>
        <w:rPr>
          <w:rFonts w:hint="eastAsia" w:ascii="宋体" w:hAnsi="宋体" w:eastAsia="宋体" w:cs="宋体"/>
        </w:rPr>
      </w:pPr>
      <w:r>
        <w:rPr>
          <w:rFonts w:hint="eastAsia" w:ascii="宋体" w:hAnsi="宋体" w:eastAsia="宋体" w:cs="宋体"/>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788"/>
        <w:ind w:firstLine="480"/>
        <w:spacing w:before="5" w:beforeAutospacing="0" w:after="5" w:afterAutospacing="0" w:line="420" w:lineRule="exact"/>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788"/>
        <w:ind w:firstLine="480"/>
        <w:spacing w:before="5" w:beforeAutospacing="0" w:after="5" w:afterAutospacing="0" w:line="420" w:lineRule="exact"/>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788"/>
        <w:ind w:firstLine="480"/>
        <w:spacing w:before="5" w:beforeAutospacing="0" w:after="5" w:afterAutospacing="0" w:line="420" w:lineRule="exact"/>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6、联合体各方均为小型、微型企业（残疾人福利单位、监狱企业）的，联合体享受20%的价格扣除。</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7、采购本国产品的支持政策</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（3）本项目政府采购活动中既有本国产品又有非本国产品参与竞争的，依法对本国产品给予价格评审优惠，对本国产品的报价给予20%的价格扣除，用扣除后的价格参与评审。</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（5）投标人需按照招标文件的要求提供《关于符合本国产品标准的声明函》（以下简称《声明函》），如不提供将不享受本国产品价格评审优惠。</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788"/>
        <w:ind w:firstLine="480"/>
        <w:spacing w:before="5" w:beforeAutospacing="0" w:after="5" w:afterAutospacing="0" w:line="420" w:lineRule="exact"/>
        <w:rPr>
          <w:rFonts w:hint="eastAsia" w:ascii="宋体" w:hAnsi="宋体" w:eastAsia="宋体" w:cs="宋体"/>
          <w:color w:val="000000"/>
        </w:rPr>
      </w:pPr>
      <w:r>
        <w:rPr>
          <w:rFonts w:hint="eastAsia" w:ascii="宋体" w:hAnsi="宋体" w:eastAsia="宋体" w:cs="宋体"/>
          <w:color w:val="000000"/>
        </w:rPr>
        <w:t xml:space="preserve">8、严格执行政府采购关于支持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88"/>
        <w:spacing w:before="120" w:beforeAutospacing="0" w:after="120" w:afterAutospacing="0" w:line="360" w:lineRule="auto"/>
        <w:rPr>
          <w:rFonts w:hint="eastAsia" w:ascii="宋体" w:hAnsi="宋体" w:eastAsia="宋体" w:cs="宋体"/>
        </w:rPr>
      </w:pPr>
      <w:r>
        <w:rPr>
          <w:rFonts w:hint="eastAsia" w:ascii="宋体" w:hAnsi="宋体" w:eastAsia="宋体" w:cs="宋体"/>
          <w:b/>
        </w:rPr>
        <w:t xml:space="preserve">三、评标方法与评标标准</w:t>
      </w:r>
      <w:r/>
    </w:p>
    <w:tbl>
      <w:tblPr>
        <w:tblStyle w:val="767"/>
        <w:tblW w:w="0" w:type="auto"/>
        <w:jc w:val="center"/>
        <w:tblLayout w:type="fixed"/>
        <w:tblCellMar>
          <w:left w:w="108" w:type="dxa"/>
          <w:top w:w="0" w:type="dxa"/>
          <w:right w:w="108" w:type="dxa"/>
          <w:bottom w:w="0" w:type="dxa"/>
        </w:tblCellMar>
        <w:tblLook w:val="04A0" w:firstRow="1" w:lastRow="0" w:firstColumn="1" w:lastColumn="0" w:noHBand="0" w:noVBand="1"/>
      </w:tblPr>
      <w:tblGrid>
        <w:gridCol w:w="1354"/>
        <w:gridCol w:w="780"/>
        <w:gridCol w:w="6388"/>
      </w:tblGrid>
      <w:tr>
        <w:trPr>
          <w:jc w:val="center"/>
          <w:trHeight w:val="591"/>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lang w:bidi="ar"/>
              </w:rPr>
              <w:t xml:space="preserve">评分项目</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评分标准</w:t>
            </w:r>
            <w:r/>
          </w:p>
        </w:tc>
      </w:tr>
      <w:tr>
        <w:trPr>
          <w:jc w:val="center"/>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投标报价</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30分</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rPr>
                <w:rFonts w:hint="eastAsia" w:ascii="宋体" w:hAnsi="宋体" w:eastAsia="宋体" w:cs="宋体"/>
                <w:sz w:val="24"/>
                <w:lang w:bidi="ar"/>
              </w:rPr>
            </w:pPr>
            <w:r>
              <w:rPr>
                <w:rFonts w:hint="eastAsia" w:ascii="宋体" w:hAnsi="宋体" w:eastAsia="宋体" w:cs="宋体"/>
                <w:sz w:val="24"/>
                <w:lang w:bidi="ar"/>
              </w:rPr>
              <w:t xml:space="preserve">采用低价优先法计算，即满足招标文件要求且投标价格最低的投标报价为评标基准价，其价格分为满分。</w:t>
            </w:r>
            <w:r/>
          </w:p>
          <w:p>
            <w:pPr>
              <w:jc w:val="left"/>
              <w:rPr>
                <w:rFonts w:hint="eastAsia" w:ascii="宋体" w:hAnsi="宋体" w:eastAsia="宋体" w:cs="宋体"/>
                <w:sz w:val="24"/>
                <w:lang w:bidi="ar"/>
              </w:rPr>
            </w:pPr>
            <w:r>
              <w:rPr>
                <w:rFonts w:hint="eastAsia" w:ascii="宋体" w:hAnsi="宋体" w:eastAsia="宋体" w:cs="宋体"/>
                <w:sz w:val="24"/>
                <w:lang w:bidi="ar"/>
              </w:rPr>
              <w:t xml:space="preserve">其他投标人的价格分统一按照下列公式计算：</w:t>
            </w:r>
            <w:r/>
          </w:p>
          <w:p>
            <w:pPr>
              <w:jc w:val="left"/>
              <w:rPr>
                <w:rFonts w:hint="eastAsia" w:ascii="宋体" w:hAnsi="宋体" w:eastAsia="宋体" w:cs="宋体"/>
                <w:sz w:val="24"/>
                <w:lang w:bidi="ar"/>
              </w:rPr>
            </w:pPr>
            <w:r>
              <w:rPr>
                <w:rFonts w:hint="eastAsia" w:ascii="宋体" w:hAnsi="宋体" w:eastAsia="宋体" w:cs="宋体"/>
                <w:sz w:val="24"/>
                <w:lang w:bidi="ar"/>
              </w:rPr>
              <w:t xml:space="preserve">投标报价得分=(评标基准价／投标报价)×30。</w:t>
            </w:r>
            <w:r/>
          </w:p>
          <w:p>
            <w:pPr>
              <w:jc w:val="left"/>
              <w:rPr>
                <w:rFonts w:hint="eastAsia" w:ascii="宋体" w:hAnsi="宋体" w:eastAsia="宋体" w:cs="宋体"/>
                <w:sz w:val="24"/>
                <w:lang w:bidi="ar"/>
              </w:rPr>
            </w:pPr>
            <w:r>
              <w:rPr>
                <w:rFonts w:hint="eastAsia" w:ascii="宋体" w:hAnsi="宋体" w:eastAsia="宋体" w:cs="宋体"/>
                <w:sz w:val="24"/>
                <w:lang w:bidi="ar"/>
              </w:rPr>
              <w:t xml:space="preserve">投标人投标报价得分按“四舍五入”精确到小数点后两位。</w:t>
            </w:r>
            <w:r/>
          </w:p>
          <w:p>
            <w:pPr>
              <w:jc w:val="left"/>
              <w:rPr>
                <w:rFonts w:hint="eastAsia" w:ascii="宋体" w:hAnsi="宋体" w:eastAsia="宋体" w:cs="宋体"/>
                <w:sz w:val="24"/>
                <w:lang w:bidi="ar"/>
              </w:rPr>
            </w:pPr>
            <w:r>
              <w:rPr>
                <w:rFonts w:hint="eastAsia" w:ascii="宋体" w:hAnsi="宋体" w:eastAsia="宋体" w:cs="宋体"/>
                <w:sz w:val="24"/>
                <w:lang w:bidi="ar"/>
              </w:rPr>
              <w:t xml:space="preserve">本项目对小型和微型企业产品给予20%的扣除价格，用扣除后的价格参与评审。</w:t>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产品性能参数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sz w:val="24"/>
                <w:lang w:bidi="ar"/>
              </w:rPr>
            </w:pPr>
            <w:r>
              <w:rPr>
                <w:rFonts w:hint="eastAsia" w:ascii="宋体" w:hAnsi="宋体" w:eastAsia="宋体" w:cs="宋体"/>
                <w:sz w:val="24"/>
                <w:lang w:bidi="ar"/>
              </w:rPr>
              <w:t xml:space="preserve">36分</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spacing w:before="120" w:after="120" w:line="85" w:lineRule="atLeast"/>
              <w:rPr>
                <w:rFonts w:hint="eastAsia" w:ascii="宋体" w:hAnsi="宋体" w:eastAsia="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bidi="ar"/>
              </w:rPr>
              <w:t xml:space="preserve">1、对主要设备采购需求中加“▲”技术参数要求的，每提供一项得2分，满分30分。注： 评委凭投标人提供的有效证明文件原件扫描件为考评依据，不提供不得分。</w:t>
            </w:r>
            <w:r/>
          </w:p>
          <w:p>
            <w:pPr>
              <w:jc w:val="left"/>
              <w:rPr>
                <w:rFonts w:hint="eastAsia" w:ascii="宋体" w:hAnsi="宋体" w:eastAsia="宋体" w:cs="宋体"/>
                <w:sz w:val="24"/>
                <w:lang w:bidi="ar"/>
              </w:rPr>
            </w:pPr>
            <w:r>
              <w:rPr>
                <w:rFonts w:hint="eastAsia" w:ascii="宋体" w:hAnsi="宋体" w:eastAsia="宋体" w:cs="宋体"/>
                <w:sz w:val="24"/>
                <w:lang w:bidi="ar"/>
              </w:rPr>
              <w:t xml:space="preserve">2、投标人每提供一个高空监控规划点位照片及经纬度，得1分，最高得6分，未提供不得分。</w:t>
            </w:r>
            <w:r/>
          </w:p>
        </w:tc>
      </w:tr>
      <w:tr>
        <w:trPr>
          <w:jc w:val="center"/>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投标人综合实力</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4分</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投标人具有有效的信息安全管理体系认证证书、信息技术服务管理体系认证证书，每提供一份得2分，未提供的不得分，本项最高得4分。</w:t>
            </w:r>
            <w:r/>
          </w:p>
          <w:p>
            <w:pPr>
              <w:jc w:val="left"/>
              <w:spacing w:before="120" w:after="120" w:line="85" w:lineRule="atLeast"/>
              <w:rPr>
                <w:rFonts w:hint="eastAsia" w:ascii="宋体" w:hAnsi="宋体" w:eastAsia="宋体" w:cs="宋体"/>
                <w:sz w:val="24"/>
              </w:rPr>
            </w:pPr>
            <w:r>
              <w:rPr>
                <w:rFonts w:hint="eastAsia" w:ascii="宋体" w:hAnsi="宋体" w:eastAsia="宋体" w:cs="宋体"/>
                <w:sz w:val="24"/>
                <w:lang w:bidi="ar"/>
              </w:rPr>
              <w:t xml:space="preserve">注：以上资质需提供相关证书复印件并加盖投标人公章。(分公司投标的可提供总公司的资质证书，但需同步提供总公司相关投标授权书)</w:t>
            </w:r>
            <w:r/>
          </w:p>
        </w:tc>
      </w:tr>
      <w:tr>
        <w:trPr>
          <w:jc w:val="center"/>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技术、实施方案</w:t>
            </w:r>
            <w:r/>
          </w:p>
        </w:tc>
        <w:tc>
          <w:tcPr>
            <w:tcBorders>
              <w:top w:val="single" w:color="000000" w:sz="4" w:space="0"/>
              <w:left w:val="single" w:color="000000" w:sz="4" w:space="0"/>
              <w:right w:val="single" w:color="000000" w:sz="4" w:space="0"/>
            </w:tcBorders>
            <w:tcW w:w="780" w:type="dxa"/>
            <w:vAlign w:val="center"/>
            <w:textDirection w:val="lrTb"/>
            <w:noWrap w:val="false"/>
          </w:tcPr>
          <w:p>
            <w:pPr>
              <w:jc w:val="center"/>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15分</w:t>
            </w:r>
            <w:r/>
          </w:p>
        </w:tc>
        <w:tc>
          <w:tcPr>
            <w:tcBorders>
              <w:top w:val="single" w:color="000000" w:sz="4" w:space="0"/>
              <w:left w:val="single" w:color="000000" w:sz="4" w:space="0"/>
              <w:right w:val="single" w:color="000000" w:sz="4" w:space="0"/>
            </w:tcBorders>
            <w:tcW w:w="6388" w:type="dxa"/>
            <w:vAlign w:val="center"/>
            <w:textDirection w:val="lrTb"/>
            <w:noWrap w:val="false"/>
          </w:tcPr>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1、投标人提供各系统技术方案包括但不限于：</w:t>
            </w:r>
            <w:r/>
          </w:p>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1）本项目深度了解及分析及项目系统架构表述；2）产品的性能分析及方案的兼容性可扩展性；3）各系统设备连接，设备分布及布局优化；4）技术力量保障措施；5）项目网络组网方案及网络安全可靠性。</w:t>
            </w:r>
            <w:r/>
          </w:p>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上述各评分小项，方案内容优于采购需求得6分；方案满足采购需求的，得4分；虽有方案，但方案内容存在缺陷的，得2分；方案不符合招标文件要求的或未提供的不得分</w:t>
            </w:r>
            <w:r/>
          </w:p>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2、投标人提供完善的项目施工方案包括但不限于：</w:t>
            </w:r>
            <w:r/>
          </w:p>
          <w:p>
            <w:pPr>
              <w:jc w:val="left"/>
              <w:spacing w:before="120" w:after="120" w:line="85" w:lineRule="atLeast"/>
              <w:rPr>
                <w:rFonts w:hint="eastAsia" w:ascii="宋体" w:hAnsi="宋体" w:eastAsia="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bidi="ar"/>
              </w:rPr>
              <w:t xml:space="preserve">1）施工前准备；2）进度计划；3）实施流程；4）施工安全保障措施；5）项目施工人员保障措施；6）设备质量保障措施；7）施工质量保障；8）文明施工；9）验收方案；10）项目培训大纲等。</w:t>
            </w:r>
            <w:r/>
          </w:p>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施工方案内容优于采购需求得9分；方案满足采购需求的，得6分；虽有方案，但方案内容存在缺陷的，得3分；未提供的，该项不得分。</w:t>
            </w:r>
            <w:r/>
          </w:p>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（缺陷是指：存在项目名称错误、地点区域错误、内容与本项目需求无关、方案内容矛盾、仅有框架或标题、适用的标准（方法）错误、明显复制其他项目内容等任意一种情形）</w:t>
            </w:r>
            <w:r/>
          </w:p>
        </w:tc>
      </w:tr>
      <w:tr>
        <w:trPr>
          <w:jc w:val="center"/>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售后服务</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4分</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1、针对本项目售后服务方案包括但不限于：1）售后服务计划；2）保修期内每个子系统的备品备件完善情况；3）人员配置；4）障碍修复时间、应急保障等。方案内容优于采购需求得2分；方案满足采购需求的，得1分；虽有方案，但方案内容存在缺陷的，得0.5分；未提供的，该项不得分。</w:t>
            </w:r>
            <w:r/>
          </w:p>
          <w:p>
            <w:pPr>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（缺陷是指：存在项目名称错误、地点区域错误、内容与本项目需求无关、方案内容矛盾、仅有框架或标题、适用的标准（方法）错误、明显复制其他项目内容等任意一种情形）</w:t>
            </w:r>
            <w:r/>
          </w:p>
          <w:p>
            <w:pPr>
              <w:jc w:val="left"/>
              <w:spacing w:before="120" w:after="120" w:line="85" w:lineRule="atLeast"/>
              <w:rPr>
                <w:rFonts w:hint="eastAsia" w:ascii="宋体" w:hAnsi="宋体" w:eastAsia="宋体" w:cs="宋体"/>
                <w:sz w:val="24"/>
                <w:lang w:bidi="ar"/>
              </w:rPr>
            </w:pPr>
            <w:r>
              <w:rPr>
                <w:rFonts w:hint="eastAsia" w:ascii="宋体" w:hAnsi="宋体" w:eastAsia="宋体" w:cs="宋体"/>
                <w:sz w:val="24"/>
                <w:lang w:bidi="ar"/>
              </w:rPr>
              <w:t xml:space="preserve">2、售后服务承诺函响应：承诺2小时内障碍修复得2分，承诺2小时至4小时内障碍修复得1.5分，4小时至6小时内障碍修复得1分。其余不得分。（以售后服务承诺函内容为准，格式自拟）</w:t>
            </w:r>
            <w:r/>
          </w:p>
        </w:tc>
      </w:tr>
      <w:tr>
        <w:trPr>
          <w:jc w:val="center"/>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rPr>
                <w:rFonts w:hint="eastAsia" w:ascii="宋体" w:hAnsi="宋体" w:eastAsia="宋体" w:cs="宋体"/>
                <w:sz w:val="24"/>
              </w:rPr>
            </w:pPr>
            <w:r>
              <w:rPr>
                <w:rFonts w:hint="eastAsia" w:ascii="宋体" w:hAnsi="宋体" w:eastAsia="宋体" w:cs="宋体"/>
                <w:sz w:val="24"/>
              </w:rPr>
              <w:t xml:space="preserve">运管平台演示</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9分</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1、平台需具备强大的设备监管功能，提供多种类型的设备接入纳管，演示包括操作系统、服务器硬件、网络设备、存储设备、安全设备的接入纳管，以及采集到设备的实时数据和历史数据。</w:t>
            </w:r>
            <w:r/>
          </w:p>
          <w:p>
            <w:pPr>
              <w:jc w:val="left"/>
              <w:rPr>
                <w:rFonts w:hint="eastAsia" w:ascii="宋体" w:hAnsi="宋体" w:eastAsia="宋体" w:cs="宋体"/>
                <w:sz w:val="24"/>
              </w:rPr>
            </w:pPr>
            <w:r>
              <w:rPr>
                <w:rFonts w:hint="eastAsia" w:ascii="宋体" w:hAnsi="宋体" w:eastAsia="宋体" w:cs="宋体"/>
                <w:sz w:val="24"/>
              </w:rPr>
              <w:t xml:space="preserve">本项满分3分，演示操作系统纳管、服务器硬件纳管、网络设备纳管、存储设备纳管、安全设备纳管、采集到设备实时数据六个功能点，每个功能点得0.5分，满分3分。</w:t>
            </w:r>
            <w:r/>
          </w:p>
          <w:p>
            <w:pPr>
              <w:jc w:val="left"/>
              <w:rPr>
                <w:rFonts w:hint="eastAsia" w:ascii="宋体" w:hAnsi="宋体" w:eastAsia="宋体" w:cs="宋体"/>
                <w:sz w:val="24"/>
              </w:rPr>
            </w:pPr>
            <w:r>
              <w:rPr>
                <w:rFonts w:hint="eastAsia" w:ascii="宋体" w:hAnsi="宋体" w:eastAsia="宋体" w:cs="宋体"/>
                <w:sz w:val="24"/>
              </w:rPr>
              <w:t xml:space="preserve">2、为便于项目后期运维管理，平台支持运维流程派单，可进行告警自动派单以及人工派单，有效支持事件管理、问题管理、变更管理、发布管理、400报障等运维流程工单，工单流传可上传附件、点评、工单流程可视化。</w:t>
            </w:r>
            <w:r/>
          </w:p>
          <w:p>
            <w:pPr>
              <w:jc w:val="left"/>
              <w:rPr>
                <w:rFonts w:hint="eastAsia" w:ascii="宋体" w:hAnsi="宋体" w:eastAsia="宋体" w:cs="宋体"/>
                <w:sz w:val="24"/>
              </w:rPr>
            </w:pPr>
            <w:r>
              <w:rPr>
                <w:rFonts w:hint="eastAsia" w:ascii="宋体" w:hAnsi="宋体" w:eastAsia="宋体" w:cs="宋体"/>
                <w:sz w:val="24"/>
              </w:rPr>
              <w:t xml:space="preserve">本项满分3分，演示告警自动派单、告警人工派单、事件管理工单、问题管理工单、变更管理工单、发布管理工单六个功能点，每个功能点得0.5分，满分3分。</w:t>
            </w:r>
            <w:r/>
          </w:p>
          <w:p>
            <w:pPr>
              <w:jc w:val="left"/>
              <w:rPr>
                <w:rFonts w:hint="eastAsia" w:ascii="宋体" w:hAnsi="宋体" w:eastAsia="宋体" w:cs="宋体"/>
                <w:sz w:val="24"/>
              </w:rPr>
            </w:pPr>
            <w:r>
              <w:rPr>
                <w:rFonts w:hint="eastAsia" w:ascii="宋体" w:hAnsi="宋体" w:eastAsia="宋体" w:cs="宋体"/>
                <w:sz w:val="24"/>
              </w:rPr>
              <w:t xml:space="preserve">3、平台自动生成运维报告，支持自动化导出运维服务报告，包括业务总体健康概览、平台容量分析、设备运行指标分析、业务自动拨测分析、工单闭环管控分析、告警统计、告警分析等数据。</w:t>
            </w:r>
            <w:r/>
          </w:p>
          <w:p>
            <w:pPr>
              <w:jc w:val="left"/>
              <w:rPr>
                <w:rFonts w:hint="eastAsia" w:ascii="宋体" w:hAnsi="宋体" w:eastAsia="宋体" w:cs="宋体"/>
                <w:sz w:val="24"/>
              </w:rPr>
            </w:pPr>
            <w:r>
              <w:rPr>
                <w:rFonts w:hint="eastAsia" w:ascii="宋体" w:hAnsi="宋体" w:eastAsia="宋体" w:cs="宋体"/>
                <w:sz w:val="24"/>
              </w:rPr>
              <w:t xml:space="preserve">本项满分3分，演示自动化导出运维服务报告，报告内容包括业务总体健康概览、平台容量分析、设备运行指标分析、业务自动拨测分析、工单闭环管控分析、告警分析六项分析数据，每项分析数据得0.5分，满分3分。</w:t>
            </w:r>
            <w:r/>
          </w:p>
          <w:p>
            <w:pPr>
              <w:jc w:val="left"/>
              <w:rPr>
                <w:rFonts w:hint="eastAsia" w:ascii="宋体" w:hAnsi="宋体" w:eastAsia="宋体" w:cs="宋体"/>
                <w:sz w:val="24"/>
              </w:rPr>
            </w:pPr>
            <w:r>
              <w:rPr>
                <w:rFonts w:hint="eastAsia" w:ascii="宋体" w:hAnsi="宋体" w:eastAsia="宋体" w:cs="宋体"/>
                <w:sz w:val="24"/>
              </w:rPr>
              <w:t xml:space="preserve">注：演示视频需进行录屏展示，提供Demo、PPT演示稿或截图等其他方式不得分。</w:t>
            </w:r>
            <w:r/>
          </w:p>
        </w:tc>
      </w:tr>
      <w:tr>
        <w:trPr>
          <w:jc w:val="center"/>
        </w:trPr>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节能环保</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lang w:bidi="ar"/>
              </w:rPr>
              <w:t xml:space="preserve">2分</w:t>
            </w:r>
            <w:r/>
          </w:p>
        </w:tc>
        <w:tc>
          <w:tcPr>
            <w:tcBorders>
              <w:top w:val="single" w:color="000000" w:sz="4" w:space="0"/>
              <w:left w:val="single" w:color="000000" w:sz="4" w:space="0"/>
              <w:bottom w:val="single" w:color="000000" w:sz="4" w:space="0"/>
              <w:right w:val="single" w:color="000000" w:sz="4" w:space="0"/>
            </w:tcBorders>
            <w:tcW w:w="6388"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lang w:bidi="ar"/>
              </w:rPr>
              <w:t xml:space="preserve">1、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rPr>
                <w:rFonts w:hint="eastAsia" w:ascii="宋体" w:hAnsi="宋体" w:eastAsia="宋体" w:cs="宋体"/>
                <w:sz w:val="24"/>
                <w:lang w:bidi="ar"/>
              </w:rPr>
              <w:br/>
            </w:r>
            <w:r>
              <w:rPr>
                <w:rFonts w:hint="eastAsia" w:ascii="宋体" w:hAnsi="宋体" w:eastAsia="宋体" w:cs="宋体"/>
                <w:sz w:val="24"/>
                <w:lang w:bidi="ar"/>
              </w:rPr>
              <w:t xml:space="preserve">2、投标产品属于财政部、生态环境部公布的“环境标志产品品目清单”范围内的，投标人提供国家确定的认证机构出具的、处于有效期内的该环保产品认证证书的，有1个得0.5分，最多得1分。</w:t>
            </w:r>
            <w:r/>
          </w:p>
        </w:tc>
      </w:tr>
    </w:tbl>
    <w:p>
      <w:pPr>
        <w:jc w:val="left"/>
        <w:rPr>
          <w:rFonts w:hint="eastAsia" w:ascii="宋体" w:hAnsi="宋体" w:eastAsia="宋体" w:cs="宋体"/>
          <w:color w:val="000000"/>
          <w:sz w:val="24"/>
        </w:rPr>
      </w:pPr>
      <w:r>
        <w:rPr>
          <w:rFonts w:hint="eastAsia" w:ascii="宋体" w:hAnsi="宋体" w:eastAsia="宋体" w:cs="宋体"/>
          <w:color w:val="000000"/>
          <w:sz w:val="2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788"/>
        <w:ind w:firstLine="2200"/>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第六章  投标文件格式 </w:t>
      </w:r>
      <w:r/>
    </w:p>
    <w:p>
      <w:pPr>
        <w:pStyle w:val="788"/>
        <w:ind w:firstLine="2891"/>
        <w:keepNext/>
        <w:spacing w:beforeAutospacing="0" w:afterAutospacing="0"/>
      </w:pPr>
      <w:r/>
      <w:r/>
    </w:p>
    <w:p>
      <w:pPr>
        <w:pStyle w:val="788"/>
        <w:ind w:firstLine="1446"/>
        <w:spacing w:beforeAutospacing="0" w:afterAutospacing="0"/>
      </w:pPr>
      <w:r/>
      <w:bookmarkStart w:id="202" w:name="_Toc49090576"/>
      <w:r/>
      <w:bookmarkEnd w:id="202"/>
      <w:r/>
      <w:bookmarkStart w:id="203" w:name="_Toc120614282"/>
      <w:r/>
      <w:bookmarkEnd w:id="203"/>
      <w:r/>
      <w:bookmarkStart w:id="204" w:name="_Hlt26955039"/>
      <w:r/>
      <w:bookmarkStart w:id="205" w:name="_Toc26554094"/>
      <w:r/>
      <w:bookmarkStart w:id="206" w:name="_Hlt26671244"/>
      <w:r>
        <w:rPr>
          <w:rFonts w:hint="eastAsia" w:ascii="宋体" w:hAnsi="宋体" w:eastAsia="宋体" w:cs="宋体"/>
          <w:b/>
          <w:color w:val="000000"/>
          <w:sz w:val="72"/>
          <w:szCs w:val="72"/>
        </w:rPr>
        <w:t xml:space="preserve">投  标  文  件</w:t>
      </w:r>
      <w:r/>
    </w:p>
    <w:p>
      <w:pPr>
        <w:pStyle w:val="788"/>
        <w:ind w:firstLine="2891"/>
        <w:spacing w:beforeAutospacing="0" w:afterAutospacing="0"/>
      </w:pPr>
      <w:r>
        <w:t xml:space="preserve"> </w:t>
      </w:r>
      <w:r/>
    </w:p>
    <w:p>
      <w:pPr>
        <w:pStyle w:val="788"/>
        <w:ind w:firstLine="2891"/>
        <w:spacing w:beforeAutospacing="0" w:afterAutospacing="0"/>
      </w:pPr>
      <w:r>
        <w:t xml:space="preserve"> </w:t>
      </w:r>
      <w:r/>
    </w:p>
    <w:p>
      <w:pPr>
        <w:pStyle w:val="788"/>
        <w:ind w:firstLine="2891"/>
        <w:spacing w:beforeAutospacing="0" w:afterAutospacing="0"/>
      </w:pPr>
      <w:r>
        <w:t xml:space="preserve"> </w:t>
      </w:r>
      <w:r/>
    </w:p>
    <w:p>
      <w:pPr>
        <w:pStyle w:val="788"/>
        <w:ind w:firstLine="2891"/>
        <w:spacing w:beforeAutospacing="0" w:afterAutospacing="0"/>
      </w:pPr>
      <w:r>
        <w:t xml:space="preserve"> </w:t>
      </w:r>
      <w:r/>
    </w:p>
    <w:p>
      <w:pPr>
        <w:pStyle w:val="788"/>
        <w:ind w:firstLine="2891"/>
        <w:spacing w:beforeAutospacing="0" w:afterAutospacing="0"/>
      </w:pPr>
      <w:r>
        <w:t xml:space="preserve"> </w:t>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ind w:firstLine="2891"/>
        <w:spacing w:beforeAutospacing="0" w:afterAutospacing="0"/>
      </w:pPr>
      <w:r/>
      <w:r/>
    </w:p>
    <w:p>
      <w:pPr>
        <w:pStyle w:val="788"/>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788"/>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788"/>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788"/>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788"/>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788"/>
        <w:ind w:firstLine="2891"/>
        <w:spacing w:beforeAutospacing="0" w:afterAutospacing="0" w:line="0" w:lineRule="atLeast"/>
      </w:pPr>
      <w:r>
        <w:t xml:space="preserve"> </w:t>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一、法人或者其他组织的营业执照等证明文件，自然人的身份证明</w:t>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二、</w:t>
      </w:r>
      <w:bookmarkStart w:id="207" w:name="_Hlk203119391"/>
      <w:r>
        <w:rPr>
          <w:rFonts w:hint="eastAsia" w:ascii="宋体" w:hAnsi="宋体" w:eastAsia="宋体" w:cs="宋体"/>
          <w:i/>
          <w:u w:val="single"/>
        </w:rPr>
        <w:t xml:space="preserve">2024年度或2025年度的财务状况报告（至少提供资产负债表、利润表、现金流量表，投标人成立不满一年无需提供）</w:t>
      </w:r>
      <w:bookmarkEnd w:id="207"/>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三、具备履行合同所必需的设备和专业技术能力的书面声明</w:t>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五、参加政府采购活动前 3 年内在经营活动中没有重大违法记录的书面声明</w:t>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六、特定资格要求的证明文件</w:t>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七、法人授权书</w:t>
      </w:r>
      <w:r/>
    </w:p>
    <w:p>
      <w:pPr>
        <w:pStyle w:val="788"/>
        <w:ind w:left="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八、</w:t>
      </w:r>
      <w:bookmarkStart w:id="208" w:name="OLE_LINK100"/>
      <w:r/>
      <w:bookmarkStart w:id="209" w:name="OLE_LINK47"/>
      <w:r>
        <w:rPr>
          <w:rFonts w:hint="eastAsia" w:ascii="宋体" w:hAnsi="宋体" w:eastAsia="宋体" w:cs="宋体"/>
          <w:i/>
          <w:u w:val="single"/>
        </w:rPr>
        <w:t xml:space="preserve">投标函</w:t>
      </w:r>
      <w:bookmarkEnd w:id="208"/>
      <w:r/>
      <w:bookmarkEnd w:id="209"/>
      <w:r/>
      <w:r/>
    </w:p>
    <w:p>
      <w:pPr>
        <w:pStyle w:val="788"/>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九、中小企业声明函</w:t>
      </w:r>
      <w:r/>
    </w:p>
    <w:p>
      <w:pPr>
        <w:pStyle w:val="788"/>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十、残疾人福利性单位声明函</w:t>
      </w:r>
      <w:r/>
    </w:p>
    <w:p>
      <w:pPr>
        <w:pStyle w:val="788"/>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十一、关于符合本国产品标准的声明</w:t>
      </w:r>
      <w:r/>
    </w:p>
    <w:p>
      <w:pPr>
        <w:pStyle w:val="788"/>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十二、</w:t>
      </w:r>
      <w:bookmarkStart w:id="210" w:name="OLE_LINK48"/>
      <w:r>
        <w:rPr>
          <w:rFonts w:hint="eastAsia" w:ascii="宋体" w:hAnsi="宋体" w:eastAsia="宋体" w:cs="宋体"/>
          <w:iCs/>
        </w:rPr>
        <w:t xml:space="preserve">投标分项报价表</w:t>
      </w:r>
      <w:bookmarkEnd w:id="210"/>
      <w:r/>
      <w:r/>
    </w:p>
    <w:p>
      <w:pPr>
        <w:pStyle w:val="788"/>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十三、</w:t>
      </w:r>
      <w:bookmarkStart w:id="211" w:name="OLE_LINK49"/>
      <w:r>
        <w:rPr>
          <w:rFonts w:hint="eastAsia" w:ascii="宋体" w:hAnsi="宋体" w:eastAsia="宋体" w:cs="宋体"/>
          <w:iCs/>
        </w:rPr>
        <w:t xml:space="preserve">技术需求响应及偏离表</w:t>
      </w:r>
      <w:bookmarkEnd w:id="211"/>
      <w:r/>
      <w:r/>
    </w:p>
    <w:p>
      <w:pPr>
        <w:pStyle w:val="788"/>
        <w:ind w:firstLine="480"/>
        <w:jc w:val="both"/>
        <w:spacing w:beforeAutospacing="0" w:afterAutospacing="0" w:line="500" w:lineRule="exact"/>
        <w:rPr>
          <w:rFonts w:hint="eastAsia" w:ascii="宋体" w:hAnsi="宋体" w:eastAsia="宋体" w:cs="宋体"/>
          <w:iCs/>
        </w:rPr>
      </w:pPr>
      <w:r>
        <w:rPr>
          <w:rFonts w:hint="eastAsia" w:ascii="宋体" w:hAnsi="宋体" w:eastAsia="宋体" w:cs="宋体"/>
          <w:iCs/>
        </w:rPr>
        <w:t xml:space="preserve">十四、</w:t>
      </w:r>
      <w:bookmarkStart w:id="212" w:name="OLE_LINK27"/>
      <w:r/>
      <w:bookmarkStart w:id="213" w:name="OLE_LINK109"/>
      <w:r>
        <w:rPr>
          <w:rFonts w:hint="eastAsia" w:ascii="宋体" w:hAnsi="宋体" w:eastAsia="宋体" w:cs="宋体"/>
          <w:iCs/>
        </w:rPr>
        <w:t xml:space="preserve">商务需求响应及偏离表</w:t>
      </w:r>
      <w:bookmarkEnd w:id="212"/>
      <w:r/>
      <w:bookmarkEnd w:id="213"/>
      <w:r/>
      <w:r/>
    </w:p>
    <w:p>
      <w:pPr>
        <w:pStyle w:val="788"/>
        <w:ind w:firstLine="480"/>
        <w:jc w:val="both"/>
        <w:spacing w:beforeAutospacing="0" w:afterAutospacing="0" w:line="500" w:lineRule="exact"/>
        <w:rPr>
          <w:rFonts w:hint="eastAsia" w:ascii="宋体" w:hAnsi="宋体" w:eastAsia="宋体" w:cs="宋体"/>
          <w:i/>
          <w:u w:val="single"/>
        </w:rPr>
      </w:pPr>
      <w:r>
        <w:rPr>
          <w:rFonts w:hint="eastAsia" w:ascii="宋体" w:hAnsi="宋体" w:eastAsia="宋体" w:cs="宋体"/>
          <w:i/>
          <w:u w:val="single"/>
        </w:rPr>
        <w:t xml:space="preserve">十五、开标一览表</w:t>
      </w:r>
      <w:r/>
    </w:p>
    <w:p>
      <w:pPr>
        <w:pStyle w:val="788"/>
        <w:ind w:firstLine="480"/>
        <w:jc w:val="both"/>
        <w:spacing w:beforeAutospacing="0" w:afterAutospacing="0" w:line="500" w:lineRule="exact"/>
        <w:rPr>
          <w:rFonts w:hint="eastAsia" w:ascii="宋体" w:hAnsi="宋体" w:eastAsia="宋体" w:cs="宋体"/>
          <w:iCs/>
        </w:rPr>
      </w:pPr>
      <w:r/>
      <w:bookmarkStart w:id="214" w:name="_Hlk194934004"/>
      <w:r>
        <w:rPr>
          <w:rFonts w:hint="eastAsia" w:ascii="宋体" w:hAnsi="宋体" w:eastAsia="宋体" w:cs="宋体"/>
          <w:iCs/>
        </w:rPr>
        <w:t xml:space="preserve">十六、</w:t>
      </w:r>
      <w:bookmarkStart w:id="215" w:name="OLE_LINK50"/>
      <w:r>
        <w:rPr>
          <w:rFonts w:hint="eastAsia" w:ascii="宋体" w:hAnsi="宋体" w:eastAsia="宋体" w:cs="宋体"/>
          <w:iCs/>
        </w:rPr>
        <w:t xml:space="preserve">招标</w:t>
      </w:r>
      <w:bookmarkStart w:id="216" w:name="OLE_LINK7"/>
      <w:r>
        <w:rPr>
          <w:rFonts w:hint="eastAsia" w:ascii="宋体" w:hAnsi="宋体" w:eastAsia="宋体" w:cs="宋体"/>
          <w:iCs/>
        </w:rPr>
        <w:t xml:space="preserve">文件中规定要求提供的证明材料和投标人认为需要提供的其他材</w:t>
      </w:r>
      <w:bookmarkEnd w:id="216"/>
      <w:r>
        <w:rPr>
          <w:rFonts w:hint="eastAsia" w:ascii="宋体" w:hAnsi="宋体" w:eastAsia="宋体" w:cs="宋体"/>
          <w:iCs/>
        </w:rPr>
        <w:t xml:space="preserve">料</w:t>
      </w:r>
      <w:bookmarkEnd w:id="215"/>
      <w:r/>
      <w:r/>
    </w:p>
    <w:p>
      <w:pPr>
        <w:pStyle w:val="788"/>
        <w:ind w:firstLine="480"/>
        <w:jc w:val="both"/>
        <w:spacing w:beforeAutospacing="0" w:afterAutospacing="0" w:line="500" w:lineRule="exact"/>
        <w:rPr>
          <w:rFonts w:hint="eastAsia" w:ascii="宋体" w:hAnsi="宋体" w:eastAsia="宋体" w:cs="宋体"/>
          <w:iCs/>
        </w:rPr>
      </w:pPr>
      <w:r/>
      <w:bookmarkStart w:id="217" w:name="OLE_LINK84"/>
      <w:r>
        <w:rPr>
          <w:rFonts w:hint="eastAsia" w:ascii="宋体" w:hAnsi="宋体" w:eastAsia="宋体" w:cs="宋体"/>
          <w:iCs/>
        </w:rPr>
        <w:t xml:space="preserve">十七、</w:t>
      </w:r>
      <w:bookmarkStart w:id="218" w:name="OLE_LINK51"/>
      <w:r>
        <w:rPr>
          <w:rFonts w:hint="eastAsia" w:ascii="宋体" w:hAnsi="宋体" w:eastAsia="宋体" w:cs="宋体"/>
          <w:iCs/>
        </w:rPr>
        <w:t xml:space="preserve">盐城市政府采购事前信用承诺书</w:t>
      </w:r>
      <w:bookmarkEnd w:id="214"/>
      <w:r/>
      <w:bookmarkEnd w:id="217"/>
      <w:r/>
      <w:bookmarkEnd w:id="218"/>
      <w:r/>
      <w:r/>
    </w:p>
    <w:p>
      <w:pPr>
        <w:pStyle w:val="788"/>
        <w:ind w:firstLine="480"/>
        <w:jc w:val="both"/>
        <w:spacing w:beforeAutospacing="0" w:afterAutospacing="0" w:line="500" w:lineRule="exact"/>
        <w:rPr>
          <w:rFonts w:hint="eastAsia" w:ascii="宋体" w:hAnsi="宋体" w:eastAsia="宋体" w:cs="宋体"/>
          <w:iCs/>
        </w:rPr>
      </w:pPr>
      <w:r/>
      <w:bookmarkStart w:id="219" w:name="_Toc120614284"/>
      <w:r/>
      <w:r/>
    </w:p>
    <w:p>
      <w:pPr>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br w:type="page" w:clear="all"/>
      </w:r>
      <w:r/>
    </w:p>
    <w:p>
      <w:pPr>
        <w:pStyle w:val="788"/>
        <w:spacing w:beforeAutospacing="0" w:afterAutospacing="0" w:line="360" w:lineRule="auto"/>
      </w:pPr>
      <w:r>
        <w:rPr>
          <w:rFonts w:hint="eastAsia" w:cs="黑体"/>
          <w:i/>
          <w:sz w:val="32"/>
          <w:szCs w:val="32"/>
          <w:u w:val="single"/>
          <w:shd w:val="clear" w:color="auto" w:fill="ffffff" w:themeFill="background1"/>
        </w:rPr>
        <w:t xml:space="preserve">一、法人或者其他组织的营业执照等证明文件，自然人的身份证明</w:t>
      </w:r>
      <w:r/>
    </w:p>
    <w:p>
      <w:pPr>
        <w:pStyle w:val="788"/>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二、2024年度或2025年度的财务状况报告（至少提供资产负债表、利润表、现金流量表，投标人成立不满一年无需提供）</w:t>
      </w:r>
      <w:r/>
    </w:p>
    <w:p>
      <w:pPr>
        <w:pStyle w:val="788"/>
        <w:rPr>
          <w:shd w:val="clear" w:color="auto" w:fill="ffffff" w:themeFill="background1"/>
        </w:rPr>
      </w:pPr>
      <w:r>
        <w:rPr>
          <w:rFonts w:hint="eastAsia" w:cs="黑体"/>
          <w:i/>
          <w:sz w:val="32"/>
          <w:szCs w:val="32"/>
          <w:u w:val="single"/>
          <w:shd w:val="clear" w:color="auto" w:fill="ffffff" w:themeFill="background1"/>
        </w:rPr>
        <w:t xml:space="preserve">三、具备履行合同所必需的设备和专业技术能力的书面声明</w:t>
      </w:r>
      <w:r/>
    </w:p>
    <w:p>
      <w:pPr>
        <w:pStyle w:val="788"/>
        <w:ind w:firstLine="480"/>
        <w:spacing w:line="0" w:lineRule="atLeast"/>
        <w:rPr>
          <w:shd w:val="clear" w:color="auto" w:fill="ffffff" w:themeFill="background1"/>
        </w:rPr>
      </w:pPr>
      <w:r>
        <w:rPr>
          <w:rFonts w:hint="eastAsia"/>
          <w:shd w:val="clear" w:color="auto" w:fill="ffffff" w:themeFill="background1"/>
        </w:rPr>
        <w:t xml:space="preserve">我单位郑重声明：我单位具备履行本项采购合同所必需的设备和专业技术能力，为履行本项采购合同我公司具备如下主要设备和主要专业技术能力：</w:t>
      </w:r>
      <w:r/>
    </w:p>
    <w:p>
      <w:pPr>
        <w:pStyle w:val="788"/>
        <w:ind w:firstLine="480"/>
        <w:spacing w:line="0" w:lineRule="atLeast"/>
        <w:rPr>
          <w:u w:val="single"/>
          <w:shd w:val="clear" w:color="auto" w:fill="ffffff" w:themeFill="background1"/>
        </w:rPr>
      </w:pPr>
      <w:r>
        <w:rPr>
          <w:rFonts w:hint="eastAsia"/>
          <w:shd w:val="clear" w:color="auto" w:fill="ffffff" w:themeFill="background1"/>
        </w:rPr>
        <w:t xml:space="preserve">主要设备有：</w:t>
      </w:r>
      <w:r>
        <w:rPr>
          <w:rFonts w:hint="eastAsia"/>
          <w:u w:val="single"/>
          <w:shd w:val="clear" w:color="auto" w:fill="ffffff" w:themeFill="background1"/>
        </w:rPr>
        <w:t xml:space="preserve"> </w:t>
      </w:r>
      <w:r>
        <w:rPr>
          <w:rFonts w:hint="eastAsia" w:eastAsia="宋体"/>
          <w:u w:val="single"/>
          <w:shd w:val="clear" w:color="auto" w:fill="ffffff" w:themeFill="background1"/>
        </w:rPr>
        <w:t xml:space="preserve"> </w:t>
      </w:r>
      <w:r>
        <w:rPr>
          <w:rFonts w:hint="eastAsia"/>
          <w:u w:val="single"/>
          <w:shd w:val="clear" w:color="auto" w:fill="ffffff" w:themeFill="background1"/>
        </w:rPr>
        <w:t xml:space="preserve"> </w:t>
      </w:r>
      <w:r/>
    </w:p>
    <w:p>
      <w:pPr>
        <w:pStyle w:val="788"/>
        <w:ind w:firstLine="480"/>
        <w:spacing w:line="0" w:lineRule="atLeast"/>
        <w:rPr>
          <w:shd w:val="clear" w:color="auto" w:fill="ffffff" w:themeFill="background1"/>
        </w:rPr>
      </w:pPr>
      <w:r>
        <w:rPr>
          <w:rFonts w:hint="eastAsia"/>
          <w:shd w:val="clear" w:color="auto" w:fill="ffffff" w:themeFill="background1"/>
        </w:rPr>
        <w:t xml:space="preserve">主要专业技术能力有：</w:t>
      </w:r>
      <w:r>
        <w:rPr>
          <w:rFonts w:hint="eastAsia"/>
          <w:u w:val="single"/>
          <w:shd w:val="clear" w:color="auto" w:fill="ffffff" w:themeFill="background1"/>
        </w:rPr>
        <w:t xml:space="preserve">  </w:t>
      </w:r>
      <w:r>
        <w:rPr>
          <w:rFonts w:hint="eastAsia" w:eastAsia="宋体"/>
          <w:u w:val="single"/>
          <w:shd w:val="clear" w:color="auto" w:fill="ffffff" w:themeFill="background1"/>
        </w:rPr>
        <w:t xml:space="preserve"> </w:t>
      </w:r>
      <w:r>
        <w:rPr>
          <w:rFonts w:hint="eastAsia"/>
          <w:u w:val="single"/>
          <w:shd w:val="clear" w:color="auto" w:fill="ffffff" w:themeFill="background1"/>
        </w:rPr>
        <w:t xml:space="preserve"> </w:t>
      </w:r>
      <w:r>
        <w:rPr>
          <w:rFonts w:hint="eastAsia"/>
          <w:shd w:val="clear" w:color="auto" w:fill="ffffff" w:themeFill="background1"/>
        </w:rPr>
        <w:t xml:space="preserve">。</w:t>
      </w:r>
      <w:r/>
    </w:p>
    <w:p>
      <w:pPr>
        <w:pStyle w:val="788"/>
        <w:rPr>
          <w:shd w:val="clear" w:color="auto" w:fill="ffffff" w:themeFill="background1"/>
        </w:rPr>
      </w:pPr>
      <w:r>
        <w:rPr>
          <w:rFonts w:hint="eastAsia" w:cs="黑体"/>
          <w:i/>
          <w:sz w:val="32"/>
          <w:szCs w:val="32"/>
          <w:u w:val="single"/>
          <w:shd w:val="clear" w:color="auto" w:fill="ffffff" w:themeFill="background1"/>
        </w:rPr>
        <w:t xml:space="preserve">四、依法缴纳税收和社会保障资金的相关材料</w:t>
      </w:r>
      <w:r/>
    </w:p>
    <w:p>
      <w:pPr>
        <w:pStyle w:val="788"/>
        <w:ind w:firstLine="480"/>
        <w:rPr>
          <w:shd w:val="clear" w:color="auto" w:fill="ffffff" w:themeFill="background1"/>
        </w:rPr>
      </w:pPr>
      <w:r>
        <w:rPr>
          <w:rFonts w:hint="eastAsia"/>
          <w:shd w:val="clear" w:color="auto" w:fill="ffffff" w:themeFill="background1"/>
        </w:rPr>
        <w:t xml:space="preserve">提供提交投标文件截止时间前一年内至少一个月依法缴纳税收及缴纳社会保障资金的证明材料。投标人依法享受缓缴、免缴税收、社会保障资金的提供证明材料。</w:t>
      </w:r>
      <w:r/>
    </w:p>
    <w:p>
      <w:pPr>
        <w:pStyle w:val="788"/>
        <w:rPr>
          <w:shd w:val="clear" w:color="auto" w:fill="ffffff" w:themeFill="background1"/>
        </w:rPr>
      </w:pPr>
      <w:r>
        <w:rPr>
          <w:rFonts w:hint="eastAsia" w:cs="黑体"/>
          <w:i/>
          <w:sz w:val="32"/>
          <w:szCs w:val="32"/>
          <w:u w:val="single"/>
          <w:shd w:val="clear" w:color="auto" w:fill="ffffff" w:themeFill="background1"/>
        </w:rPr>
        <w:t xml:space="preserve">五、参加政府采购活动前 3 年内在经营活动中没有重大违法记录的书面声明</w:t>
      </w:r>
      <w:r/>
    </w:p>
    <w:p>
      <w:pPr>
        <w:pStyle w:val="788"/>
        <w:ind w:firstLine="3092"/>
        <w:spacing w:line="0" w:lineRule="atLeast"/>
        <w:rPr>
          <w:shd w:val="clear" w:color="auto" w:fill="ffffff" w:themeFill="background1"/>
        </w:rPr>
      </w:pPr>
      <w:r>
        <w:rPr>
          <w:rFonts w:hint="eastAsia"/>
          <w:b/>
          <w:sz w:val="44"/>
          <w:szCs w:val="44"/>
          <w:shd w:val="clear" w:color="auto" w:fill="ffffff" w:themeFill="background1"/>
        </w:rPr>
        <w:t xml:space="preserve">声  明</w:t>
      </w:r>
      <w:r/>
    </w:p>
    <w:p>
      <w:pPr>
        <w:pStyle w:val="788"/>
        <w:ind w:firstLine="480"/>
        <w:spacing w:line="0" w:lineRule="atLeast"/>
        <w:rPr>
          <w:shd w:val="clear" w:color="auto" w:fill="ffffff" w:themeFill="background1"/>
        </w:rPr>
      </w:pPr>
      <w:r>
        <w:rPr>
          <w:rFonts w:hint="eastAsia"/>
          <w:shd w:val="clear" w:color="auto" w:fill="ffffff" w:themeFill="background1"/>
        </w:rPr>
        <w:t xml:space="preserve">我单位郑重声明：参加本次政府采购活动前 3 年内，我单位在经营活动中没有因违法经营受到刑事处罚或者责令停产停业、吊销许可证或者执照、较大数额罚款等行政处罚。</w:t>
      </w:r>
      <w:r/>
    </w:p>
    <w:p>
      <w:pPr>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br w:type="page" w:clear="all"/>
      </w:r>
      <w:r/>
    </w:p>
    <w:p>
      <w:pPr>
        <w:pStyle w:val="788"/>
        <w:rPr>
          <w:rFonts w:cs="黑体"/>
          <w:i/>
          <w:sz w:val="32"/>
          <w:szCs w:val="32"/>
          <w:u w:val="single"/>
          <w:shd w:val="clear" w:color="auto" w:fill="ffffff" w:themeFill="background1"/>
        </w:rPr>
      </w:pPr>
      <w:r>
        <w:rPr>
          <w:rFonts w:hint="eastAsia" w:cs="黑体"/>
          <w:i/>
          <w:sz w:val="32"/>
          <w:szCs w:val="32"/>
          <w:u w:val="single"/>
          <w:shd w:val="clear" w:color="auto" w:fill="ffffff" w:themeFill="background1"/>
        </w:rPr>
        <w:t xml:space="preserve">六、特定资格要求的证明文件：</w:t>
      </w:r>
      <w:r/>
    </w:p>
    <w:p>
      <w:pPr>
        <w:pStyle w:val="771"/>
        <w:jc w:val="left"/>
        <w:spacing w:after="0" w:line="360" w:lineRule="auto"/>
        <w:rPr>
          <w:rFonts w:hint="eastAsia" w:ascii="宋体" w:hAnsi="宋体" w:eastAsia="宋体"/>
          <w:sz w:val="32"/>
          <w:szCs w:val="32"/>
          <w:shd w:val="clear" w:color="auto" w:fill="ffffff" w:themeFill="background1"/>
        </w:rPr>
      </w:pPr>
      <w:r>
        <w:rPr>
          <w:rFonts w:hint="eastAsia" w:cs="黑体" w:asciiTheme="minorHAnsi" w:hAnsiTheme="minorHAnsi"/>
          <w:i/>
          <w:sz w:val="32"/>
          <w:szCs w:val="32"/>
          <w:u w:val="single"/>
          <w:shd w:val="clear" w:color="auto" w:fill="ffffff" w:themeFill="background1"/>
        </w:rPr>
        <w:t xml:space="preserve">投标人必须是在中国境内注册，具有中华人民共和国工业和信息化部颁发的中华人民共和国基础电信业务经营许可证的运营商或经过总公司授权的分（支）公司。</w:t>
      </w:r>
      <w:r/>
    </w:p>
    <w:p>
      <w:pPr>
        <w:jc w:val="left"/>
        <w:widowControl/>
        <w:rPr>
          <w:rFonts w:hint="eastAsia" w:ascii="黑体" w:hAnsi="宋体" w:eastAsia="黑体" w:cs="黑体"/>
          <w:i/>
          <w:color w:val="000000"/>
          <w:sz w:val="32"/>
          <w:szCs w:val="32"/>
        </w:rPr>
      </w:pPr>
      <w:r>
        <w:rPr>
          <w:rFonts w:hint="eastAsia" w:ascii="黑体" w:hAnsi="宋体" w:eastAsia="黑体" w:cs="黑体"/>
          <w:i/>
          <w:color w:val="000000"/>
          <w:sz w:val="32"/>
          <w:szCs w:val="32"/>
        </w:rPr>
        <w:br w:type="page" w:clear="all"/>
      </w:r>
      <w:r/>
    </w:p>
    <w:p>
      <w:pPr>
        <w:pStyle w:val="771"/>
        <w:ind w:firstLine="2880"/>
        <w:jc w:val="left"/>
        <w:spacing w:after="0" w:line="360" w:lineRule="auto"/>
      </w:pPr>
      <w:r>
        <w:rPr>
          <w:rFonts w:hint="eastAsia" w:ascii="黑体" w:hAnsi="宋体" w:eastAsia="黑体" w:cs="黑体"/>
          <w:i/>
          <w:color w:val="000000"/>
          <w:sz w:val="32"/>
          <w:szCs w:val="32"/>
          <w:u w:val="single"/>
        </w:rPr>
        <w:t xml:space="preserve">七、</w:t>
      </w:r>
      <w:bookmarkStart w:id="220" w:name="OLE_LINK52"/>
      <w:r>
        <w:rPr>
          <w:rFonts w:hint="eastAsia" w:ascii="黑体" w:hAnsi="宋体" w:eastAsia="黑体" w:cs="黑体"/>
          <w:i/>
          <w:color w:val="000000"/>
          <w:sz w:val="32"/>
          <w:szCs w:val="32"/>
          <w:u w:val="single"/>
        </w:rPr>
        <w:t xml:space="preserve">法人授权书</w:t>
      </w:r>
      <w:r/>
    </w:p>
    <w:p>
      <w:pPr>
        <w:pStyle w:val="788"/>
        <w:ind w:firstLine="480"/>
        <w:spacing w:before="100" w:after="100" w:line="360" w:lineRule="auto"/>
        <w:tabs>
          <w:tab w:val="left" w:pos="360" w:leader="none"/>
        </w:tabs>
        <w:rPr>
          <w:shd w:val="clear" w:color="auto" w:fill="ffffff" w:themeFill="background1"/>
        </w:rPr>
      </w:pPr>
      <w:r/>
      <w:bookmarkStart w:id="221" w:name="_格式3__银行出具的资信证明"/>
      <w:r/>
      <w:bookmarkStart w:id="222" w:name="_Hlt26671380"/>
      <w:r/>
      <w:bookmarkStart w:id="223" w:name="_Hlt26955070"/>
      <w:r>
        <w:rPr>
          <w:shd w:val="clear" w:color="auto" w:fill="ffffff" w:themeFill="background1"/>
        </w:rPr>
        <w:t xml:space="preserve">本授权书声明：____________（投标人名称）授权________________（被授权人的姓名）为我方就</w:t>
      </w:r>
      <w:r>
        <w:rPr>
          <w:rFonts w:hint="eastAsia" w:ascii="宋体" w:hAnsi="宋体" w:eastAsia="宋体"/>
          <w:shd w:val="clear" w:color="auto" w:fill="ffffff" w:themeFill="background1"/>
        </w:rPr>
        <w:t xml:space="preserve">JSZC-</w:t>
      </w:r>
      <w:r>
        <w:rPr>
          <w:rFonts w:hint="eastAsia" w:ascii="宋体" w:hAnsi="宋体" w:eastAsia="宋体"/>
          <w:u w:val="single"/>
          <w:shd w:val="clear" w:color="auto" w:fill="ffffff" w:themeFill="background1"/>
        </w:rPr>
        <w:t xml:space="preserve">    </w:t>
      </w:r>
      <w:r>
        <w:rPr>
          <w:rFonts w:hint="eastAsia" w:ascii="宋体" w:hAnsi="宋体" w:eastAsia="宋体"/>
          <w:u w:val="single"/>
          <w:shd w:val="clear" w:color="auto" w:fill="ffffff" w:themeFill="background1"/>
        </w:rPr>
        <w:tab/>
      </w:r>
      <w:r>
        <w:rPr>
          <w:shd w:val="clear" w:color="auto" w:fill="ffffff" w:themeFill="background1"/>
        </w:rPr>
        <w:t xml:space="preserve">项目采购活动的合法代理人，以本单位名义全权处理一切与该项目采购有关的事务。</w:t>
      </w:r>
      <w:r/>
    </w:p>
    <w:p>
      <w:pPr>
        <w:pStyle w:val="788"/>
        <w:ind w:firstLine="480"/>
        <w:spacing w:before="100" w:after="100" w:line="360" w:lineRule="auto"/>
        <w:tabs>
          <w:tab w:val="left" w:pos="360" w:leader="none"/>
        </w:tabs>
        <w:rPr>
          <w:shd w:val="clear" w:color="auto" w:fill="ffffff" w:themeFill="background1"/>
        </w:rPr>
      </w:pPr>
      <w:r>
        <w:rPr>
          <w:shd w:val="clear" w:color="auto" w:fill="ffffff" w:themeFill="background1"/>
        </w:rPr>
        <w:t xml:space="preserve">本授权书于______年____月____日起生效，特此声明。</w:t>
      </w:r>
      <w:r/>
    </w:p>
    <w:p>
      <w:pPr>
        <w:pStyle w:val="788"/>
        <w:ind w:firstLine="480"/>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被授权人身份证号码：</w:t>
      </w:r>
      <w:r>
        <w:rPr>
          <w:u w:val="single"/>
          <w:shd w:val="clear" w:color="auto" w:fill="ffffff" w:themeFill="background1"/>
        </w:rPr>
        <w:t xml:space="preserve">                   </w:t>
      </w:r>
      <w:r/>
    </w:p>
    <w:p>
      <w:pPr>
        <w:pStyle w:val="788"/>
        <w:ind w:firstLine="480"/>
        <w:spacing w:before="100" w:after="100" w:line="360" w:lineRule="auto"/>
        <w:tabs>
          <w:tab w:val="left" w:pos="360" w:leader="none"/>
        </w:tabs>
        <w:rPr>
          <w:shd w:val="clear" w:color="auto" w:fill="ffffff" w:themeFill="background1"/>
        </w:rPr>
      </w:pPr>
      <w:r>
        <w:rPr>
          <w:shd w:val="clear" w:color="auto" w:fill="ffffff" w:themeFill="background1"/>
        </w:rPr>
        <w:t xml:space="preserve">被授权人联系电话：（手机）</w:t>
      </w:r>
      <w:r>
        <w:rPr>
          <w:u w:val="single"/>
          <w:shd w:val="clear" w:color="auto" w:fill="ffffff" w:themeFill="background1"/>
        </w:rPr>
        <w:t xml:space="preserve">              </w:t>
      </w:r>
      <w:r/>
    </w:p>
    <w:p>
      <w:pPr>
        <w:pStyle w:val="788"/>
        <w:ind w:firstLine="480"/>
        <w:spacing w:before="100" w:after="100" w:line="360" w:lineRule="auto"/>
        <w:tabs>
          <w:tab w:val="left" w:pos="360" w:leader="none"/>
        </w:tabs>
        <w:rPr>
          <w:shd w:val="clear" w:color="auto" w:fill="ffffff" w:themeFill="background1"/>
        </w:rPr>
      </w:pPr>
      <w:r>
        <w:rPr>
          <w:shd w:val="clear" w:color="auto" w:fill="ffffff" w:themeFill="background1"/>
        </w:rPr>
        <w:t xml:space="preserve">授权单位名称：</w:t>
      </w:r>
      <w:r>
        <w:rPr>
          <w:u w:val="single"/>
          <w:shd w:val="clear" w:color="auto" w:fill="ffffff" w:themeFill="background1"/>
        </w:rPr>
        <w:t xml:space="preserve">（加盖CA电子公章）</w:t>
      </w:r>
      <w:r/>
    </w:p>
    <w:p>
      <w:pPr>
        <w:pStyle w:val="788"/>
        <w:ind w:firstLine="480"/>
        <w:spacing w:before="100" w:after="100" w:line="360" w:lineRule="auto"/>
        <w:tabs>
          <w:tab w:val="left" w:pos="360" w:leader="none"/>
        </w:tabs>
        <w:rPr>
          <w:shd w:val="clear" w:color="auto" w:fill="ffffff" w:themeFill="background1"/>
        </w:rPr>
      </w:pPr>
      <w:r>
        <w:rPr>
          <w:shd w:val="clear" w:color="auto" w:fill="ffffff" w:themeFill="background1"/>
        </w:rPr>
        <w:t xml:space="preserve">单位地址：</w:t>
      </w:r>
      <w:r>
        <w:rPr>
          <w:u w:val="single"/>
          <w:shd w:val="clear" w:color="auto" w:fill="ffffff" w:themeFill="background1"/>
        </w:rPr>
        <w:t xml:space="preserve">              </w:t>
      </w:r>
      <w:r/>
    </w:p>
    <w:p>
      <w:pPr>
        <w:pStyle w:val="788"/>
        <w:ind w:firstLine="480"/>
        <w:spacing w:before="100" w:after="100" w:line="360" w:lineRule="auto"/>
        <w:tabs>
          <w:tab w:val="left" w:pos="360" w:leader="none"/>
        </w:tabs>
        <w:rPr>
          <w:shd w:val="clear" w:color="auto" w:fill="ffffff" w:themeFill="background1"/>
        </w:rPr>
      </w:pPr>
      <w:r>
        <w:rPr>
          <w:shd w:val="clear" w:color="auto" w:fill="ffffff" w:themeFill="background1"/>
        </w:rPr>
        <w:t xml:space="preserve">日期：</w:t>
      </w:r>
      <w:r>
        <w:rPr>
          <w:u w:val="single"/>
          <w:shd w:val="clear" w:color="auto" w:fill="ffffff" w:themeFill="background1"/>
        </w:rPr>
        <w:t xml:space="preserve">                      </w:t>
      </w:r>
      <w:bookmarkEnd w:id="220"/>
      <w:r/>
      <w:r/>
    </w:p>
    <w:p>
      <w:pPr>
        <w:rPr>
          <w:rFonts w:cs="黑体"/>
          <w:b/>
          <w:sz w:val="32"/>
          <w:szCs w:val="32"/>
          <w:shd w:val="clear" w:color="auto" w:fill="ffffff" w:themeFill="background1"/>
        </w:rPr>
      </w:pPr>
      <w:r>
        <w:rPr>
          <w:rFonts w:hint="eastAsia" w:cs="黑体"/>
          <w:b/>
          <w:sz w:val="32"/>
          <w:szCs w:val="32"/>
          <w:shd w:val="clear" w:color="auto" w:fill="ffffff" w:themeFill="background1"/>
        </w:rPr>
        <w:br w:type="page" w:clear="all"/>
      </w:r>
      <w:r/>
    </w:p>
    <w:p>
      <w:pPr>
        <w:pStyle w:val="771"/>
        <w:ind w:firstLine="2880"/>
        <w:jc w:val="left"/>
        <w:spacing w:after="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八、</w:t>
      </w:r>
      <w:bookmarkStart w:id="224" w:name="OLE_LINK53"/>
      <w:r/>
      <w:bookmarkStart w:id="225" w:name="OLE_LINK112"/>
      <w:r/>
      <w:bookmarkStart w:id="226" w:name="OLE_LINK101"/>
      <w:r>
        <w:rPr>
          <w:rFonts w:hint="eastAsia" w:ascii="黑体" w:hAnsi="宋体" w:eastAsia="黑体" w:cs="黑体"/>
          <w:i/>
          <w:color w:val="000000"/>
          <w:sz w:val="32"/>
          <w:szCs w:val="32"/>
          <w:u w:val="single"/>
        </w:rPr>
        <w:t xml:space="preserve">投标函</w:t>
      </w:r>
      <w:r/>
    </w:p>
    <w:p>
      <w:pPr>
        <w:pStyle w:val="788"/>
        <w:spacing w:beforeAutospacing="0" w:afterAutospacing="0" w:line="360" w:lineRule="auto"/>
        <w:rPr>
          <w:rFonts w:eastAsia="宋体"/>
          <w:shd w:val="clear" w:color="auto" w:fill="ffffff" w:themeFill="background1"/>
        </w:rPr>
      </w:pPr>
      <w:r>
        <w:rPr>
          <w:rFonts w:hint="eastAsia"/>
          <w:shd w:val="clear" w:color="auto" w:fill="ffffff" w:themeFill="background1"/>
        </w:rPr>
        <w:t xml:space="preserve">致：</w:t>
      </w:r>
      <w:r>
        <w:rPr>
          <w:rFonts w:hint="eastAsia" w:eastAsia="宋体"/>
          <w:shd w:val="clear" w:color="auto" w:fill="ffffff" w:themeFill="background1"/>
        </w:rPr>
        <w:t xml:space="preserve">盐城文力项目管理有限公司/响水县教育局</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根据贵方的</w:t>
      </w:r>
      <w:r>
        <w:rPr>
          <w:rFonts w:hint="eastAsia" w:eastAsia="宋体"/>
          <w:shd w:val="clear" w:color="auto" w:fill="ffffff" w:themeFill="background1"/>
        </w:rPr>
        <w:t xml:space="preserve">JSZC-</w:t>
      </w:r>
      <w:r>
        <w:rPr>
          <w:rFonts w:hint="eastAsia" w:eastAsia="宋体"/>
          <w:u w:val="single"/>
          <w:shd w:val="clear" w:color="auto" w:fill="ffffff" w:themeFill="background1"/>
        </w:rPr>
        <w:t xml:space="preserve">      </w:t>
      </w:r>
      <w:r>
        <w:rPr>
          <w:rFonts w:hint="eastAsia"/>
          <w:u w:val="single"/>
          <w:shd w:val="clear" w:color="auto" w:fill="ffffff" w:themeFill="background1"/>
        </w:rPr>
        <w:tab/>
      </w:r>
      <w:r>
        <w:rPr>
          <w:rFonts w:hint="eastAsia"/>
          <w:shd w:val="clear" w:color="auto" w:fill="ffffff" w:themeFill="background1"/>
        </w:rPr>
        <w:t xml:space="preserve">号招标文件，正式授权下述签字人______(姓名)代表我方______________（投标人的名称），全权处理本次项目投标的有关事宜。</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据此函，__________签字人兹宣布同意如下：</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1.按招标文件规定的各项要求，向买方提供所需货物（包含与货物相关的服务）。</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2.我们完全理解贵方不一定将合同授予最低报价的投标人。</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3.我们已详细审核全部招标文件及其有效补充文件，我们知道必须放弃提出含糊不清或误解问题的权利。</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4.我们同意从规定的开标日期起遵循本投标文件，并在规定的投标有效期期满之前均具有约束力（投标有效期：开标之日后</w:t>
      </w:r>
      <w:r>
        <w:rPr>
          <w:rFonts w:hint="eastAsia"/>
          <w:u w:val="single"/>
          <w:shd w:val="clear" w:color="auto" w:fill="ffffff" w:themeFill="background1"/>
        </w:rPr>
        <w:t xml:space="preserve">九十（90）天</w:t>
      </w:r>
      <w:r>
        <w:rPr>
          <w:rFonts w:hint="eastAsia"/>
          <w:shd w:val="clear" w:color="auto" w:fill="ffffff" w:themeFill="background1"/>
        </w:rPr>
        <w:t xml:space="preserve">）。</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5.同意向贵方提供贵方可能另外要求的与投标有关的任何证据或资料，并保证我方已提供和将要提供的文件是真实的、准确的。</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6.一旦我方中标,我方将根据招标文件的规定，严格履行合同的责任和义务,并保证在招标文件规定的时间完成项目，交付买方验收、使用。</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7.与本投标有关的正式通讯地址为：</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地          址：</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邮          编：</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电          话：</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传          真：</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投标人开户行：</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账          号： </w:t>
      </w:r>
      <w:r/>
    </w:p>
    <w:p>
      <w:pPr>
        <w:pStyle w:val="788"/>
        <w:ind w:firstLine="480"/>
        <w:spacing w:beforeAutospacing="0" w:afterAutospacing="0" w:line="360" w:lineRule="auto"/>
        <w:rPr>
          <w:shd w:val="clear" w:color="auto" w:fill="ffffff" w:themeFill="background1"/>
        </w:rPr>
      </w:pPr>
      <w:r>
        <w:rPr>
          <w:rFonts w:hint="eastAsia"/>
          <w:shd w:val="clear" w:color="auto" w:fill="ffffff" w:themeFill="background1"/>
        </w:rPr>
        <w:t xml:space="preserve">日          期：____年____月____日</w:t>
      </w:r>
      <w:bookmarkEnd w:id="224"/>
      <w:r/>
      <w:r/>
    </w:p>
    <w:p>
      <w:pPr>
        <w:pStyle w:val="788"/>
        <w:ind w:firstLine="2891"/>
        <w:spacing w:beforeAutospacing="0" w:afterAutospacing="0" w:line="0" w:lineRule="atLeast"/>
      </w:pPr>
      <w:r/>
      <w:bookmarkEnd w:id="225"/>
      <w:r/>
      <w:r/>
    </w:p>
    <w:p>
      <w:pPr>
        <w:pStyle w:val="788"/>
        <w:ind w:firstLine="2891"/>
        <w:spacing w:beforeAutospacing="0" w:afterAutospacing="0" w:line="0" w:lineRule="atLeast"/>
      </w:pPr>
      <w:r/>
      <w:r/>
    </w:p>
    <w:p>
      <w:pPr>
        <w:pStyle w:val="788"/>
        <w:ind w:firstLine="2891"/>
        <w:spacing w:beforeAutospacing="0" w:afterAutospacing="0" w:line="0" w:lineRule="atLeast"/>
      </w:pPr>
      <w:r/>
      <w:r/>
    </w:p>
    <w:p>
      <w:pPr>
        <w:pStyle w:val="788"/>
        <w:ind w:firstLine="2891"/>
        <w:spacing w:beforeAutospacing="0" w:afterAutospacing="0" w:line="0" w:lineRule="atLeast"/>
      </w:pPr>
      <w:r/>
      <w:r/>
    </w:p>
    <w:p>
      <w:pPr>
        <w:pStyle w:val="788"/>
        <w:ind w:firstLine="2891"/>
        <w:spacing w:beforeAutospacing="0" w:afterAutospacing="0" w:line="0" w:lineRule="atLeast"/>
      </w:pPr>
      <w:r/>
      <w:bookmarkEnd w:id="226"/>
      <w:r/>
      <w:r/>
    </w:p>
    <w:p>
      <w:pPr>
        <w:rPr>
          <w:rFonts w:hint="eastAsia" w:ascii="黑体" w:hAnsi="宋体" w:eastAsia="黑体" w:cs="黑体"/>
          <w:b/>
          <w:sz w:val="32"/>
          <w:szCs w:val="32"/>
        </w:rPr>
      </w:pPr>
      <w:r>
        <w:rPr>
          <w:rFonts w:hint="eastAsia" w:ascii="黑体" w:hAnsi="宋体" w:eastAsia="黑体" w:cs="黑体"/>
          <w:b/>
          <w:sz w:val="32"/>
          <w:szCs w:val="32"/>
        </w:rPr>
        <w:br w:type="page" w:clear="all"/>
      </w:r>
      <w:r/>
    </w:p>
    <w:p>
      <w:pPr>
        <w:pStyle w:val="788"/>
        <w:ind w:firstLine="2249"/>
        <w:spacing w:beforeAutospacing="0" w:afterAutospacing="0" w:line="0" w:lineRule="atLeast"/>
      </w:pPr>
      <w:r>
        <w:rPr>
          <w:rFonts w:hint="eastAsia" w:ascii="黑体" w:hAnsi="宋体" w:eastAsia="黑体" w:cs="黑体"/>
          <w:b/>
          <w:sz w:val="32"/>
          <w:szCs w:val="32"/>
        </w:rPr>
        <w:t xml:space="preserve">九、</w:t>
      </w:r>
      <w:bookmarkStart w:id="227" w:name="OLE_LINK113"/>
      <w:r/>
      <w:bookmarkStart w:id="228" w:name="OLE_LINK54"/>
      <w:r/>
      <w:bookmarkStart w:id="229" w:name="OLE_LINK102"/>
      <w:r>
        <w:rPr>
          <w:rFonts w:hint="eastAsia" w:ascii="黑体" w:hAnsi="宋体" w:eastAsia="黑体" w:cs="黑体"/>
          <w:b/>
          <w:sz w:val="32"/>
          <w:szCs w:val="32"/>
        </w:rPr>
        <w:t xml:space="preserve">中小企业声明函（货物）</w:t>
      </w:r>
      <w:r/>
    </w:p>
    <w:p>
      <w:pPr>
        <w:pStyle w:val="771"/>
        <w:ind w:firstLine="480"/>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 的具体情况如下：</w:t>
      </w:r>
      <w:r/>
    </w:p>
    <w:p>
      <w:pPr>
        <w:pStyle w:val="771"/>
        <w:ind w:firstLine="480"/>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（□中型企业、□小型企业、□微型企业）</w:t>
      </w:r>
      <w:r>
        <w:rPr>
          <w:rFonts w:hint="eastAsia" w:ascii="宋体" w:hAnsi="宋体" w:eastAsia="宋体" w:cs="宋体"/>
          <w:bCs/>
          <w:sz w:val="24"/>
          <w:szCs w:val="24"/>
        </w:rPr>
        <w:t xml:space="preserve">；</w:t>
      </w:r>
      <w:r/>
    </w:p>
    <w:p>
      <w:pPr>
        <w:pStyle w:val="771"/>
        <w:ind w:firstLine="480"/>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 xml:space="preserve">行业；制造商为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（□中型企业、□小型 企业、□微型企业）</w:t>
      </w:r>
      <w:r>
        <w:rPr>
          <w:rFonts w:hint="eastAsia" w:ascii="宋体" w:hAnsi="宋体" w:eastAsia="宋体" w:cs="宋体"/>
          <w:bCs/>
          <w:sz w:val="24"/>
          <w:szCs w:val="24"/>
        </w:rPr>
        <w:t xml:space="preserve">；</w:t>
      </w:r>
      <w:r/>
    </w:p>
    <w:p>
      <w:pPr>
        <w:pStyle w:val="771"/>
        <w:ind w:firstLine="480"/>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w:t>
      </w:r>
      <w:r/>
    </w:p>
    <w:p>
      <w:pPr>
        <w:pStyle w:val="771"/>
        <w:ind w:firstLine="480"/>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w:t>
      </w:r>
      <w:r/>
    </w:p>
    <w:p>
      <w:pPr>
        <w:pStyle w:val="771"/>
        <w:ind w:firstLine="480"/>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本企业对上述声明内容的真实性负责。如有虚假，将依法承担相应责任。</w:t>
      </w:r>
      <w:r/>
    </w:p>
    <w:p>
      <w:pPr>
        <w:pStyle w:val="771"/>
        <w:ind w:firstLine="6000"/>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r>
      <w:r/>
    </w:p>
    <w:p>
      <w:pPr>
        <w:pStyle w:val="771"/>
        <w:ind w:firstLine="2891"/>
        <w:jc w:val="left"/>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投标人或制造商名称（盖章）：</w:t>
      </w:r>
      <w:r/>
    </w:p>
    <w:p>
      <w:pPr>
        <w:pStyle w:val="788"/>
        <w:ind w:right="480" w:firstLine="2891"/>
        <w:spacing w:beforeAutospacing="0" w:afterAutospacing="0" w:line="360" w:lineRule="auto"/>
        <w:rPr>
          <w:rFonts w:hint="eastAsia" w:ascii="宋体" w:hAnsi="宋体" w:eastAsia="宋体"/>
          <w:bCs/>
        </w:rPr>
      </w:pPr>
      <w:r>
        <w:rPr>
          <w:rFonts w:hint="eastAsia" w:ascii="宋体" w:hAnsi="宋体" w:eastAsia="宋体" w:cs="宋体"/>
          <w:bCs/>
        </w:rPr>
        <w:t xml:space="preserve">日 期：</w:t>
      </w:r>
      <w:r/>
    </w:p>
    <w:p>
      <w:pPr>
        <w:pStyle w:val="788"/>
        <w:ind w:firstLine="2891"/>
        <w:spacing w:beforeAutospacing="0" w:afterAutospacing="0" w:line="360" w:lineRule="auto"/>
      </w:pPr>
      <w:r>
        <w:t xml:space="preserve"> </w:t>
      </w:r>
      <w:r/>
    </w:p>
    <w:p>
      <w:pPr>
        <w:pStyle w:val="788"/>
        <w:spacing w:beforeAutospacing="0" w:afterAutospacing="0" w:line="360" w:lineRule="auto"/>
      </w:pPr>
      <w:r>
        <w:rPr>
          <w:rFonts w:hint="eastAsia" w:ascii="宋体" w:hAnsi="宋体" w:eastAsia="宋体" w:cs="宋体"/>
        </w:rPr>
        <w:t xml:space="preserve">备注1：从业人员、营业收入、资产总额填报上一年度数据，无上一年度数据的新成立企业可不填报。</w:t>
      </w:r>
      <w:r/>
    </w:p>
    <w:p>
      <w:pPr>
        <w:pStyle w:val="788"/>
        <w:spacing w:beforeAutospacing="0" w:afterAutospacing="0" w:line="360" w:lineRule="auto"/>
      </w:pPr>
      <w:r>
        <w:rPr>
          <w:rFonts w:hint="eastAsia" w:ascii="宋体" w:hAnsi="宋体" w:eastAsia="宋体" w:cs="宋体"/>
          <w:b/>
          <w:bCs/>
        </w:rPr>
        <w:t xml:space="preserve">备注2：供应商如不提供此声明函，价格将不做相应扣除（如项目全面面向中小企业，则资格审查不通过）。</w:t>
      </w:r>
      <w:r/>
    </w:p>
    <w:p>
      <w:pPr>
        <w:pStyle w:val="788"/>
        <w:ind w:firstLine="2570"/>
        <w:spacing w:beforeAutospacing="0" w:afterAutospacing="0" w:line="0" w:lineRule="atLeast"/>
      </w:pPr>
      <w:r>
        <w:rPr>
          <w:rFonts w:hint="eastAsia" w:ascii="黑体" w:hAnsi="宋体" w:eastAsia="黑体" w:cs="黑体"/>
          <w:b/>
          <w:sz w:val="32"/>
          <w:szCs w:val="32"/>
        </w:rPr>
        <w:br w:type="page" w:clear="all"/>
      </w:r>
      <w:bookmarkEnd w:id="227"/>
      <w:r>
        <w:rPr>
          <w:rFonts w:hint="eastAsia" w:ascii="黑体" w:hAnsi="宋体" w:eastAsia="黑体" w:cs="黑体"/>
          <w:b/>
          <w:color w:val="000000"/>
          <w:sz w:val="32"/>
          <w:szCs w:val="32"/>
        </w:rPr>
        <w:t xml:space="preserve">十、</w:t>
      </w:r>
      <w:bookmarkStart w:id="230" w:name="OLE_LINK114"/>
      <w:r>
        <w:rPr>
          <w:rFonts w:hint="eastAsia" w:ascii="黑体" w:hAnsi="宋体" w:eastAsia="黑体" w:cs="黑体"/>
          <w:b/>
          <w:color w:val="000000"/>
          <w:sz w:val="32"/>
          <w:szCs w:val="32"/>
        </w:rPr>
        <w:t xml:space="preserve">残疾人福利性单位声明函</w:t>
      </w:r>
      <w:r/>
    </w:p>
    <w:p>
      <w:pPr>
        <w:pStyle w:val="788"/>
        <w:ind w:firstLine="480"/>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788"/>
        <w:ind w:firstLine="480"/>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788"/>
        <w:ind w:firstLine="2891"/>
        <w:spacing w:beforeAutospacing="0" w:afterAutospacing="0" w:line="360" w:lineRule="auto"/>
      </w:pPr>
      <w:r>
        <w:t xml:space="preserve"> </w:t>
      </w:r>
      <w:r/>
    </w:p>
    <w:p>
      <w:pPr>
        <w:pStyle w:val="788"/>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备注中标供应商为残疾人福利单位的，此声明函将随中标结果同时公告，接受社会监督</w:t>
      </w:r>
      <w:r/>
    </w:p>
    <w:p>
      <w:pPr>
        <w:pStyle w:val="788"/>
        <w:ind w:firstLine="2891"/>
        <w:spacing w:beforeAutospacing="0" w:afterAutospacing="0" w:line="360" w:lineRule="auto"/>
      </w:pPr>
      <w:r>
        <w:t xml:space="preserve"> </w:t>
      </w:r>
      <w:r/>
    </w:p>
    <w:p>
      <w:pPr>
        <w:pStyle w:val="788"/>
        <w:ind w:right="1560"/>
        <w:spacing w:beforeAutospacing="0" w:afterAutospacing="0" w:line="360" w:lineRule="auto"/>
        <w:tabs>
          <w:tab w:val="left" w:pos="4864" w:leader="none"/>
        </w:tabs>
        <w:rPr>
          <w:rFonts w:hint="eastAsia" w:ascii="宋体" w:hAnsi="宋体" w:eastAsia="宋体" w:cs="宋体"/>
          <w:color w:val="000000"/>
        </w:rPr>
      </w:pPr>
      <w:r>
        <w:rPr>
          <w:rFonts w:hint="eastAsia" w:ascii="宋体" w:hAnsi="宋体" w:eastAsia="宋体" w:cs="宋体"/>
          <w:color w:val="000000"/>
        </w:rPr>
      </w:r>
      <w:r/>
    </w:p>
    <w:p>
      <w:pPr>
        <w:pStyle w:val="788"/>
        <w:ind w:right="1560"/>
        <w:jc w:val="right"/>
        <w:spacing w:beforeAutospacing="0" w:afterAutospacing="0" w:line="360" w:lineRule="auto"/>
        <w:tabs>
          <w:tab w:val="left" w:pos="4864" w:leader="none"/>
        </w:tabs>
      </w:pPr>
      <w:r>
        <w:rPr>
          <w:rFonts w:hint="eastAsia" w:ascii="宋体" w:hAnsi="宋体" w:eastAsia="宋体" w:cs="宋体"/>
          <w:color w:val="000000"/>
        </w:rPr>
        <w:t xml:space="preserve">供应商全称（加盖CA电子公章）：</w:t>
      </w:r>
      <w:r/>
    </w:p>
    <w:p>
      <w:pPr>
        <w:pStyle w:val="788"/>
        <w:ind w:right="1560"/>
        <w:jc w:val="right"/>
        <w:spacing w:beforeAutospacing="0" w:afterAutospacing="0" w:line="360" w:lineRule="auto"/>
        <w:tabs>
          <w:tab w:val="left" w:pos="4864" w:leader="none"/>
        </w:tabs>
      </w:pPr>
      <w:r>
        <w:rPr>
          <w:rFonts w:hint="eastAsia" w:ascii="宋体" w:hAnsi="宋体" w:eastAsia="宋体" w:cs="宋体"/>
          <w:color w:val="000000"/>
        </w:rPr>
        <w:t xml:space="preserve">日  期：</w:t>
      </w:r>
      <w:r/>
    </w:p>
    <w:p>
      <w:pPr>
        <w:pStyle w:val="788"/>
        <w:ind w:firstLine="2891"/>
        <w:spacing w:beforeAutospacing="0" w:afterAutospacing="0" w:line="0" w:lineRule="atLeast"/>
      </w:pPr>
      <w:r>
        <w:t xml:space="preserve"> </w:t>
      </w:r>
      <w:bookmarkEnd w:id="228"/>
      <w:r/>
      <w:bookmarkEnd w:id="230"/>
      <w:r/>
      <w:bookmarkEnd w:id="229"/>
      <w:r/>
      <w:r/>
    </w:p>
    <w:p>
      <w:pPr>
        <w:rPr>
          <w:rFonts w:hint="eastAsia" w:ascii="黑体" w:hAnsi="宋体" w:eastAsia="黑体" w:cs="黑体"/>
          <w:b/>
          <w:color w:val="000000"/>
          <w:sz w:val="32"/>
          <w:szCs w:val="32"/>
        </w:rPr>
      </w:pPr>
      <w:r/>
      <w:bookmarkStart w:id="231" w:name="OLE_LINK12"/>
      <w:r>
        <w:rPr>
          <w:rFonts w:hint="eastAsia" w:ascii="黑体" w:hAnsi="宋体" w:eastAsia="黑体" w:cs="黑体"/>
          <w:b/>
          <w:color w:val="000000"/>
          <w:sz w:val="32"/>
          <w:szCs w:val="32"/>
        </w:rPr>
        <w:br w:type="page" w:clear="all"/>
      </w:r>
      <w:r/>
    </w:p>
    <w:p>
      <w:pPr>
        <w:pStyle w:val="788"/>
        <w:ind w:firstLine="1285"/>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十一、关于符合本国产品标准的声明</w:t>
      </w:r>
      <w:bookmarkEnd w:id="231"/>
      <w:r>
        <w:rPr>
          <w:rFonts w:hint="eastAsia" w:ascii="黑体" w:hAnsi="宋体" w:eastAsia="黑体" w:cs="黑体"/>
          <w:b/>
          <w:color w:val="000000"/>
          <w:sz w:val="32"/>
          <w:szCs w:val="32"/>
        </w:rPr>
        <w:t xml:space="preserve">函</w:t>
      </w:r>
      <w:r/>
    </w:p>
    <w:p>
      <w:pPr>
        <w:pStyle w:val="788"/>
        <w:ind w:firstLine="2570"/>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ind w:firstLine="420"/>
        <w:spacing w:line="360" w:lineRule="auto"/>
        <w:rPr>
          <w:rFonts w:hint="eastAsia" w:ascii="宋体" w:hAnsi="宋体" w:eastAsia="宋体" w:cs="方正魏碑_GBK"/>
          <w:sz w:val="24"/>
        </w:rPr>
      </w:pPr>
      <w:r>
        <w:rPr>
          <w:rFonts w:hint="eastAsia" w:ascii="宋体" w:hAnsi="宋体" w:eastAsia="宋体" w:cs="方正魏碑_GBK"/>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firstLine="420"/>
        <w:spacing w:before="30" w:after="30" w:line="360" w:lineRule="auto"/>
        <w:rPr>
          <w:rFonts w:hint="eastAsia" w:ascii="宋体" w:hAnsi="宋体" w:eastAsia="宋体" w:cs="方正魏碑_GBK"/>
          <w:sz w:val="24"/>
        </w:rP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rPr>
          <w:rFonts w:ascii="宋体" w:hAnsi="宋体" w:eastAsia="宋体" w:cs="宋体"/>
          <w:b/>
          <w:bCs/>
          <w:sz w:val="24"/>
          <w:shd w:val="clear" w:color="auto" w:fill="ffffff"/>
        </w:rPr>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w:t>
      </w:r>
      <w:r/>
    </w:p>
    <w:p>
      <w:pPr>
        <w:ind w:firstLine="420"/>
        <w:spacing w:before="30" w:after="30" w:line="360" w:lineRule="auto"/>
        <w:rPr>
          <w:rFonts w:hint="eastAsia" w:ascii="宋体" w:hAnsi="宋体" w:eastAsia="宋体" w:cs="方正魏碑_GBK"/>
          <w:sz w:val="24"/>
        </w:rPr>
      </w:pPr>
      <w:r>
        <w:rPr>
          <w:rFonts w:hint="eastAsia" w:ascii="宋体" w:hAnsi="宋体" w:eastAsia="宋体" w:cs="方正魏碑_GBK"/>
          <w:sz w:val="24"/>
          <w:shd w:val="clear" w:color="auto" w:fill="ffffff"/>
        </w:rPr>
        <w:t xml:space="preserve">本公司（单位）对上述声明内容的真实性负责。如有虚假，愿承担相应法律责任。</w:t>
      </w:r>
      <w:r/>
    </w:p>
    <w:p>
      <w:pPr>
        <w:ind w:right="1560" w:firstLine="904"/>
        <w:jc w:val="left"/>
        <w:spacing w:beforeAutospacing="1" w:afterAutospacing="1" w:line="360" w:lineRule="auto"/>
        <w:tabs>
          <w:tab w:val="left" w:pos="4864" w:leader="none"/>
        </w:tabs>
        <w:rPr>
          <w:rFonts w:cs="Times New Roman"/>
          <w:sz w:val="24"/>
        </w:rPr>
      </w:pPr>
      <w:r>
        <w:rPr>
          <w:rFonts w:hint="eastAsia" w:ascii="宋体" w:hAnsi="宋体" w:eastAsia="宋体" w:cs="Times New Roman"/>
          <w:spacing w:val="6"/>
          <w:sz w:val="24"/>
        </w:rPr>
        <w:t xml:space="preserve">           </w:t>
      </w:r>
      <w:r>
        <w:rPr>
          <w:rFonts w:hint="eastAsia" w:ascii="宋体" w:hAnsi="宋体" w:eastAsia="宋体" w:cs="Times New Roman"/>
          <w:sz w:val="24"/>
        </w:rPr>
        <w:t xml:space="preserve">        </w:t>
      </w:r>
      <w:r>
        <w:rPr>
          <w:rFonts w:hint="eastAsia" w:ascii="宋体" w:hAnsi="宋体" w:eastAsia="宋体" w:cs="宋体"/>
          <w:color w:val="000000"/>
          <w:sz w:val="24"/>
        </w:rPr>
        <w:t xml:space="preserve">公司（单位）名称（盖章）：</w:t>
      </w:r>
      <w:r/>
    </w:p>
    <w:p>
      <w:pPr>
        <w:ind w:right="1560" w:firstLine="420"/>
        <w:jc w:val="center"/>
        <w:spacing w:line="360" w:lineRule="auto"/>
        <w:tabs>
          <w:tab w:val="left" w:pos="4860" w:leader="none"/>
        </w:tabs>
        <w:rPr>
          <w:rFonts w:hint="eastAsia" w:ascii="宋体" w:hAnsi="宋体" w:eastAsia="宋体" w:cs="方正魏碑_GBK"/>
          <w:sz w:val="24"/>
          <w:shd w:val="clear" w:color="auto" w:fill="ffffff"/>
        </w:rPr>
      </w:pPr>
      <w:r>
        <w:rPr>
          <w:rFonts w:hint="eastAsia" w:ascii="宋体" w:hAnsi="宋体" w:eastAsia="宋体" w:cs="宋体"/>
          <w:color w:val="000000"/>
        </w:rPr>
        <w:t xml:space="preserve">                      日  期</w:t>
      </w:r>
      <w:r>
        <w:rPr>
          <w:rFonts w:hint="eastAsia" w:ascii="宋体" w:hAnsi="宋体" w:eastAsia="宋体" w:cs="方正魏碑_GBK"/>
          <w:sz w:val="24"/>
          <w:shd w:val="clear" w:color="auto" w:fill="ffffff"/>
        </w:rPr>
        <w:t xml:space="preserve">：</w:t>
      </w:r>
      <w:r/>
    </w:p>
    <w:p>
      <w:pPr>
        <w:spacing w:before="4" w:after="4" w:line="400" w:lineRule="exact"/>
        <w:rPr>
          <w:rFonts w:hint="eastAsia" w:ascii="宋体" w:hAnsi="宋体" w:eastAsia="宋体" w:cs="方正魏碑_GBK"/>
          <w:sz w:val="24"/>
        </w:rPr>
      </w:pPr>
      <w:r>
        <w:rPr>
          <w:rFonts w:hint="eastAsia" w:ascii="宋体" w:hAnsi="宋体" w:eastAsia="宋体" w:cs="方正魏碑_GBK"/>
          <w:sz w:val="24"/>
          <w:shd w:val="clear" w:color="auto" w:fill="ffffff"/>
        </w:rPr>
        <w:t xml:space="preserve">1.产品如有型号，请在“产品名称”栏一并填写。</w:t>
      </w:r>
      <w:r/>
    </w:p>
    <w:p>
      <w:pPr>
        <w:spacing w:before="4" w:after="4" w:line="400" w:lineRule="exact"/>
        <w:rPr>
          <w:rFonts w:hint="eastAsia" w:ascii="宋体" w:hAnsi="宋体" w:eastAsia="宋体" w:cs="方正魏碑_GBK"/>
          <w:sz w:val="24"/>
        </w:rPr>
      </w:pPr>
      <w:r>
        <w:rPr>
          <w:rFonts w:hint="eastAsia" w:ascii="宋体" w:hAnsi="宋体" w:eastAsia="宋体" w:cs="方正魏碑_GBK"/>
          <w:sz w:val="24"/>
          <w:shd w:val="clear" w:color="auto" w:fill="ffffff"/>
        </w:rPr>
        <w:t xml:space="preserve">2.生产厂名与厂址应与生产厂营业执照载明的相关信息保持一致。</w:t>
      </w:r>
      <w:r/>
    </w:p>
    <w:p>
      <w:pPr>
        <w:spacing w:before="4" w:after="4" w:line="400" w:lineRule="exact"/>
        <w:rPr>
          <w:rFonts w:hint="eastAsia" w:ascii="宋体" w:hAnsi="宋体" w:eastAsia="宋体" w:cs="方正魏碑_GBK"/>
          <w:sz w:val="24"/>
        </w:rPr>
      </w:pPr>
      <w:r>
        <w:rPr>
          <w:rFonts w:hint="eastAsia" w:ascii="宋体" w:hAnsi="宋体" w:eastAsia="宋体" w:cs="方正魏碑_GBK"/>
          <w:sz w:val="24"/>
          <w:shd w:val="clear" w:color="auto" w:fill="ffffff"/>
        </w:rPr>
        <w:t xml:space="preserve">3.该产品的中国境内生产的组件成本占比相关要求实施前，“规定比例”栏可不填，下同。</w:t>
      </w:r>
      <w:r/>
    </w:p>
    <w:p>
      <w:pPr>
        <w:spacing w:before="4" w:after="4" w:line="400" w:lineRule="exact"/>
        <w:rPr>
          <w:rFonts w:hint="eastAsia" w:ascii="宋体" w:hAnsi="宋体" w:eastAsia="宋体" w:cs="方正魏碑_GBK"/>
          <w:sz w:val="24"/>
        </w:rPr>
      </w:pPr>
      <w:r>
        <w:rPr>
          <w:rFonts w:hint="eastAsia" w:ascii="宋体" w:hAnsi="宋体" w:eastAsia="宋体" w:cs="方正魏碑_GBK"/>
          <w:sz w:val="24"/>
          <w:shd w:val="clear" w:color="auto" w:fill="ffffff"/>
        </w:rPr>
        <w:t xml:space="preserve">4.该产品的关键组件要求实施前，“关键组件”栏可不填，下同。</w:t>
      </w:r>
      <w:r/>
    </w:p>
    <w:p>
      <w:pPr>
        <w:spacing w:before="4" w:after="4" w:line="400" w:lineRule="exact"/>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5.该产品的关键工序要求实施前，“关键工序”栏可不填，下同。</w:t>
      </w:r>
      <w:r/>
    </w:p>
    <w:p>
      <w:pPr>
        <w:spacing w:before="4" w:after="4" w:line="400" w:lineRule="exact"/>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6.</w:t>
      </w:r>
      <w:r>
        <w:rPr>
          <w:rFonts w:ascii="SimSun" w:hAnsi="SimSun" w:eastAsia="SimSun" w:cs="SimSun"/>
          <w:color w:val="000000"/>
          <w:sz w:val="24"/>
          <w:highlight w:val="white"/>
        </w:rPr>
        <w:t xml:space="preserve">《声明函》中标注“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rPr>
          <w:rFonts w:hint="eastAsia" w:ascii="宋体" w:hAnsi="宋体" w:eastAsia="宋体" w:cs="方正魏碑_GBK"/>
          <w:sz w:val="24"/>
          <w:shd w:val="clear" w:color="auto" w:fill="ffffff"/>
        </w:rPr>
        <w:t xml:space="preserve">。</w:t>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88"/>
        <w:ind w:firstLine="2570"/>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十二、</w:t>
      </w:r>
      <w:bookmarkStart w:id="232" w:name="OLE_LINK55"/>
      <w:r/>
      <w:bookmarkStart w:id="233" w:name="OLE_LINK103"/>
      <w:r>
        <w:rPr>
          <w:rFonts w:hint="eastAsia" w:ascii="黑体" w:hAnsi="宋体" w:eastAsia="黑体" w:cs="黑体"/>
          <w:b/>
          <w:color w:val="000000"/>
          <w:sz w:val="32"/>
          <w:szCs w:val="32"/>
        </w:rPr>
        <w:t xml:space="preserve">投标分项报价表</w:t>
      </w:r>
      <w:r/>
    </w:p>
    <w:p>
      <w:pPr>
        <w:jc w:val="left"/>
        <w:rPr>
          <w:shd w:val="clear" w:color="auto" w:fill="ffffff" w:themeFill="background1"/>
        </w:rPr>
        <w:pBdr>
          <w:top w:val="none" w:color="000000" w:sz="0" w:space="0"/>
          <w:left w:val="none" w:color="000000" w:sz="0" w:space="0"/>
          <w:bottom w:val="none" w:color="000000" w:sz="0" w:space="0"/>
          <w:right w:val="none" w:color="000000" w:sz="0" w:space="0"/>
        </w:pBdr>
      </w:pPr>
      <w:r>
        <w:rPr>
          <w:rFonts w:ascii="宋体" w:hAnsi="宋体" w:eastAsia="宋体" w:cs="宋体"/>
          <w:sz w:val="24"/>
          <w:shd w:val="clear" w:color="auto" w:fill="ffffff" w:themeFill="background1"/>
        </w:rPr>
        <w:t xml:space="preserve">按照采购清单内容，自行填报，金额单位：人民币元。</w:t>
      </w:r>
      <w:r/>
    </w:p>
    <w:tbl>
      <w:tblPr>
        <w:tblStyle w:val="767"/>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W w:w="5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序号</w:t>
            </w:r>
            <w:r/>
          </w:p>
        </w:tc>
        <w:tc>
          <w:tcPr>
            <w:tcW w:w="99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1</w:t>
            </w:r>
            <w:r/>
          </w:p>
        </w:tc>
        <w:tc>
          <w:tcPr>
            <w:tcW w:w="905"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2</w:t>
            </w:r>
            <w:r/>
          </w:p>
        </w:tc>
        <w:tc>
          <w:tcPr>
            <w:tcW w:w="1298"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3</w:t>
            </w:r>
            <w:r/>
          </w:p>
        </w:tc>
        <w:tc>
          <w:tcPr>
            <w:tcW w:w="7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4</w:t>
            </w:r>
            <w:r/>
          </w:p>
        </w:tc>
        <w:tc>
          <w:tcPr>
            <w:tcW w:w="918"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5</w:t>
            </w:r>
            <w:r/>
          </w:p>
        </w:tc>
        <w:tc>
          <w:tcPr>
            <w:tcW w:w="69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6</w:t>
            </w:r>
            <w:r/>
          </w:p>
        </w:tc>
        <w:tc>
          <w:tcPr>
            <w:tcW w:w="1261"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7</w:t>
            </w:r>
            <w:r/>
          </w:p>
        </w:tc>
        <w:tc>
          <w:tcPr>
            <w:tcW w:w="1151"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W w:w="5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1</w:t>
            </w:r>
            <w:r/>
          </w:p>
        </w:tc>
        <w:tc>
          <w:tcPr>
            <w:tcW w:w="99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产品</w:t>
            </w:r>
            <w:r/>
          </w:p>
          <w:p>
            <w:pPr>
              <w:pStyle w:val="788"/>
              <w:jc w:val="center"/>
              <w:spacing w:beforeAutospacing="0" w:afterAutospacing="0" w:line="0" w:lineRule="atLeast"/>
            </w:pPr>
            <w:r>
              <w:rPr>
                <w:rFonts w:hint="eastAsia" w:ascii="宋体" w:hAnsi="宋体" w:eastAsia="宋体" w:cs="宋体"/>
                <w:color w:val="000000"/>
              </w:rPr>
              <w:t xml:space="preserve">名称</w:t>
            </w:r>
            <w:r/>
          </w:p>
        </w:tc>
        <w:tc>
          <w:tcPr>
            <w:tcW w:w="905"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品牌</w:t>
            </w:r>
            <w:r/>
          </w:p>
        </w:tc>
        <w:tc>
          <w:tcPr>
            <w:tcW w:w="1298"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规格</w:t>
            </w:r>
            <w:r/>
          </w:p>
          <w:p>
            <w:pPr>
              <w:pStyle w:val="788"/>
              <w:jc w:val="center"/>
              <w:spacing w:beforeAutospacing="0" w:afterAutospacing="0" w:line="0" w:lineRule="atLeast"/>
            </w:pPr>
            <w:r>
              <w:rPr>
                <w:rFonts w:hint="eastAsia" w:ascii="宋体" w:hAnsi="宋体" w:eastAsia="宋体" w:cs="宋体"/>
                <w:color w:val="000000"/>
              </w:rPr>
              <w:t xml:space="preserve">型号</w:t>
            </w:r>
            <w:r/>
          </w:p>
        </w:tc>
        <w:tc>
          <w:tcPr>
            <w:tcW w:w="7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产地</w:t>
            </w:r>
            <w:r/>
          </w:p>
        </w:tc>
        <w:tc>
          <w:tcPr>
            <w:tcW w:w="918"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交付期</w:t>
            </w:r>
            <w:r/>
          </w:p>
        </w:tc>
        <w:tc>
          <w:tcPr>
            <w:tcW w:w="69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数量</w:t>
            </w:r>
            <w:r/>
          </w:p>
        </w:tc>
        <w:tc>
          <w:tcPr>
            <w:tcW w:w="1261"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分项单价</w:t>
            </w:r>
            <w:r/>
          </w:p>
        </w:tc>
        <w:tc>
          <w:tcPr>
            <w:tcW w:w="1151"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W w:w="5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2</w:t>
            </w:r>
            <w:r/>
          </w:p>
        </w:tc>
        <w:tc>
          <w:tcPr>
            <w:tcW w:w="996" w:type="dxa"/>
            <w:vAlign w:val="center"/>
            <w:textDirection w:val="lrTb"/>
            <w:noWrap w:val="false"/>
          </w:tcPr>
          <w:p>
            <w:pPr>
              <w:pStyle w:val="788"/>
              <w:jc w:val="both"/>
              <w:spacing w:beforeAutospacing="0" w:afterAutospacing="0" w:line="0" w:lineRule="atLeast"/>
            </w:pPr>
            <w:r>
              <w:t xml:space="preserve"> </w:t>
            </w:r>
            <w:r/>
          </w:p>
        </w:tc>
        <w:tc>
          <w:tcPr>
            <w:tcW w:w="905" w:type="dxa"/>
            <w:vAlign w:val="center"/>
            <w:textDirection w:val="lrTb"/>
            <w:noWrap w:val="false"/>
          </w:tcPr>
          <w:p>
            <w:pPr>
              <w:pStyle w:val="788"/>
              <w:jc w:val="both"/>
              <w:spacing w:beforeAutospacing="0" w:afterAutospacing="0" w:line="0" w:lineRule="atLeast"/>
            </w:pPr>
            <w:r>
              <w:t xml:space="preserve"> </w:t>
            </w:r>
            <w:r/>
          </w:p>
        </w:tc>
        <w:tc>
          <w:tcPr>
            <w:tcW w:w="1298" w:type="dxa"/>
            <w:vAlign w:val="center"/>
            <w:textDirection w:val="lrTb"/>
            <w:noWrap w:val="false"/>
          </w:tcPr>
          <w:p>
            <w:pPr>
              <w:pStyle w:val="788"/>
              <w:jc w:val="both"/>
              <w:spacing w:beforeAutospacing="0" w:afterAutospacing="0" w:line="0" w:lineRule="atLeast"/>
            </w:pPr>
            <w:r>
              <w:t xml:space="preserve"> </w:t>
            </w:r>
            <w:r/>
          </w:p>
        </w:tc>
        <w:tc>
          <w:tcPr>
            <w:tcW w:w="746" w:type="dxa"/>
            <w:vAlign w:val="center"/>
            <w:textDirection w:val="lrTb"/>
            <w:noWrap w:val="false"/>
          </w:tcPr>
          <w:p>
            <w:pPr>
              <w:pStyle w:val="788"/>
              <w:jc w:val="both"/>
              <w:spacing w:beforeAutospacing="0" w:afterAutospacing="0" w:line="0" w:lineRule="atLeast"/>
            </w:pPr>
            <w:r>
              <w:t xml:space="preserve"> </w:t>
            </w:r>
            <w:r/>
          </w:p>
        </w:tc>
        <w:tc>
          <w:tcPr>
            <w:tcW w:w="918" w:type="dxa"/>
            <w:vAlign w:val="center"/>
            <w:textDirection w:val="lrTb"/>
            <w:noWrap w:val="false"/>
          </w:tcPr>
          <w:p>
            <w:pPr>
              <w:pStyle w:val="788"/>
              <w:jc w:val="both"/>
              <w:spacing w:beforeAutospacing="0" w:afterAutospacing="0" w:line="0" w:lineRule="atLeast"/>
            </w:pPr>
            <w:r>
              <w:t xml:space="preserve"> </w:t>
            </w:r>
            <w:r/>
          </w:p>
        </w:tc>
        <w:tc>
          <w:tcPr>
            <w:tcW w:w="696" w:type="dxa"/>
            <w:vAlign w:val="center"/>
            <w:textDirection w:val="lrTb"/>
            <w:noWrap w:val="false"/>
          </w:tcPr>
          <w:p>
            <w:pPr>
              <w:pStyle w:val="788"/>
              <w:jc w:val="both"/>
              <w:spacing w:beforeAutospacing="0" w:afterAutospacing="0" w:line="0" w:lineRule="atLeast"/>
            </w:pPr>
            <w:r>
              <w:t xml:space="preserve"> </w:t>
            </w:r>
            <w:r/>
          </w:p>
        </w:tc>
        <w:tc>
          <w:tcPr>
            <w:tcW w:w="1261" w:type="dxa"/>
            <w:vAlign w:val="center"/>
            <w:textDirection w:val="lrTb"/>
            <w:noWrap w:val="false"/>
          </w:tcPr>
          <w:p>
            <w:pPr>
              <w:pStyle w:val="788"/>
              <w:jc w:val="both"/>
              <w:spacing w:beforeAutospacing="0" w:afterAutospacing="0" w:line="0" w:lineRule="atLeast"/>
            </w:pPr>
            <w:r>
              <w:t xml:space="preserve"> </w:t>
            </w:r>
            <w:r/>
          </w:p>
        </w:tc>
        <w:tc>
          <w:tcPr>
            <w:tcW w:w="1151" w:type="dxa"/>
            <w:vAlign w:val="center"/>
            <w:textDirection w:val="lrTb"/>
            <w:noWrap w:val="false"/>
          </w:tcPr>
          <w:p>
            <w:pPr>
              <w:pStyle w:val="788"/>
              <w:jc w:val="both"/>
              <w:spacing w:beforeAutospacing="0" w:afterAutospacing="0" w:line="0" w:lineRule="atLeast"/>
            </w:pPr>
            <w:r>
              <w:t xml:space="preserve"> </w:t>
            </w:r>
            <w:r/>
          </w:p>
        </w:tc>
      </w:tr>
      <w:tr>
        <w:trPr>
          <w:tblCellSpacing w:w="0" w:type="dxa"/>
          <w:trHeight w:val="724"/>
        </w:trPr>
        <w:tc>
          <w:tcPr>
            <w:tcW w:w="5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3</w:t>
            </w:r>
            <w:r/>
          </w:p>
        </w:tc>
        <w:tc>
          <w:tcPr>
            <w:tcW w:w="996" w:type="dxa"/>
            <w:vAlign w:val="center"/>
            <w:textDirection w:val="lrTb"/>
            <w:noWrap w:val="false"/>
          </w:tcPr>
          <w:p>
            <w:pPr>
              <w:pStyle w:val="788"/>
              <w:jc w:val="both"/>
              <w:spacing w:beforeAutospacing="0" w:afterAutospacing="0" w:line="0" w:lineRule="atLeast"/>
            </w:pPr>
            <w:r>
              <w:t xml:space="preserve"> </w:t>
            </w:r>
            <w:r/>
          </w:p>
        </w:tc>
        <w:tc>
          <w:tcPr>
            <w:tcW w:w="905" w:type="dxa"/>
            <w:vAlign w:val="center"/>
            <w:textDirection w:val="lrTb"/>
            <w:noWrap w:val="false"/>
          </w:tcPr>
          <w:p>
            <w:pPr>
              <w:pStyle w:val="788"/>
              <w:jc w:val="both"/>
              <w:spacing w:beforeAutospacing="0" w:afterAutospacing="0" w:line="0" w:lineRule="atLeast"/>
            </w:pPr>
            <w:r>
              <w:t xml:space="preserve"> </w:t>
            </w:r>
            <w:r/>
          </w:p>
        </w:tc>
        <w:tc>
          <w:tcPr>
            <w:tcW w:w="1298" w:type="dxa"/>
            <w:vAlign w:val="center"/>
            <w:textDirection w:val="lrTb"/>
            <w:noWrap w:val="false"/>
          </w:tcPr>
          <w:p>
            <w:pPr>
              <w:pStyle w:val="788"/>
              <w:jc w:val="both"/>
              <w:spacing w:beforeAutospacing="0" w:afterAutospacing="0" w:line="0" w:lineRule="atLeast"/>
            </w:pPr>
            <w:r>
              <w:t xml:space="preserve"> </w:t>
            </w:r>
            <w:r/>
          </w:p>
        </w:tc>
        <w:tc>
          <w:tcPr>
            <w:tcW w:w="746" w:type="dxa"/>
            <w:vAlign w:val="center"/>
            <w:textDirection w:val="lrTb"/>
            <w:noWrap w:val="false"/>
          </w:tcPr>
          <w:p>
            <w:pPr>
              <w:pStyle w:val="788"/>
              <w:jc w:val="both"/>
              <w:spacing w:beforeAutospacing="0" w:afterAutospacing="0" w:line="0" w:lineRule="atLeast"/>
            </w:pPr>
            <w:r>
              <w:t xml:space="preserve"> </w:t>
            </w:r>
            <w:r/>
          </w:p>
        </w:tc>
        <w:tc>
          <w:tcPr>
            <w:tcW w:w="918" w:type="dxa"/>
            <w:vAlign w:val="center"/>
            <w:textDirection w:val="lrTb"/>
            <w:noWrap w:val="false"/>
          </w:tcPr>
          <w:p>
            <w:pPr>
              <w:pStyle w:val="788"/>
              <w:jc w:val="both"/>
              <w:spacing w:beforeAutospacing="0" w:afterAutospacing="0" w:line="0" w:lineRule="atLeast"/>
            </w:pPr>
            <w:r>
              <w:t xml:space="preserve"> </w:t>
            </w:r>
            <w:r/>
          </w:p>
        </w:tc>
        <w:tc>
          <w:tcPr>
            <w:tcW w:w="696" w:type="dxa"/>
            <w:vAlign w:val="center"/>
            <w:textDirection w:val="lrTb"/>
            <w:noWrap w:val="false"/>
          </w:tcPr>
          <w:p>
            <w:pPr>
              <w:pStyle w:val="788"/>
              <w:jc w:val="both"/>
              <w:spacing w:beforeAutospacing="0" w:afterAutospacing="0" w:line="0" w:lineRule="atLeast"/>
            </w:pPr>
            <w:r>
              <w:t xml:space="preserve"> </w:t>
            </w:r>
            <w:r/>
          </w:p>
        </w:tc>
        <w:tc>
          <w:tcPr>
            <w:tcW w:w="1261" w:type="dxa"/>
            <w:vAlign w:val="center"/>
            <w:textDirection w:val="lrTb"/>
            <w:noWrap w:val="false"/>
          </w:tcPr>
          <w:p>
            <w:pPr>
              <w:pStyle w:val="788"/>
              <w:jc w:val="both"/>
              <w:spacing w:beforeAutospacing="0" w:afterAutospacing="0" w:line="0" w:lineRule="atLeast"/>
            </w:pPr>
            <w:r>
              <w:t xml:space="preserve"> </w:t>
            </w:r>
            <w:r/>
          </w:p>
        </w:tc>
        <w:tc>
          <w:tcPr>
            <w:tcW w:w="1151" w:type="dxa"/>
            <w:vAlign w:val="center"/>
            <w:textDirection w:val="lrTb"/>
            <w:noWrap w:val="false"/>
          </w:tcPr>
          <w:p>
            <w:pPr>
              <w:pStyle w:val="788"/>
              <w:jc w:val="both"/>
              <w:spacing w:beforeAutospacing="0" w:afterAutospacing="0" w:line="0" w:lineRule="atLeast"/>
            </w:pPr>
            <w:r>
              <w:t xml:space="preserve"> </w:t>
            </w:r>
            <w:r/>
          </w:p>
        </w:tc>
      </w:tr>
      <w:tr>
        <w:trPr>
          <w:tblCellSpacing w:w="0" w:type="dxa"/>
          <w:trHeight w:val="640"/>
        </w:trPr>
        <w:tc>
          <w:tcPr>
            <w:tcW w:w="5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4</w:t>
            </w:r>
            <w:r/>
          </w:p>
        </w:tc>
        <w:tc>
          <w:tcPr>
            <w:tcW w:w="996" w:type="dxa"/>
            <w:vAlign w:val="center"/>
            <w:textDirection w:val="lrTb"/>
            <w:noWrap w:val="false"/>
          </w:tcPr>
          <w:p>
            <w:pPr>
              <w:pStyle w:val="788"/>
              <w:jc w:val="both"/>
              <w:spacing w:beforeAutospacing="0" w:afterAutospacing="0" w:line="0" w:lineRule="atLeast"/>
            </w:pPr>
            <w:r>
              <w:t xml:space="preserve"> </w:t>
            </w:r>
            <w:r/>
          </w:p>
        </w:tc>
        <w:tc>
          <w:tcPr>
            <w:tcW w:w="905" w:type="dxa"/>
            <w:vAlign w:val="center"/>
            <w:textDirection w:val="lrTb"/>
            <w:noWrap w:val="false"/>
          </w:tcPr>
          <w:p>
            <w:pPr>
              <w:pStyle w:val="788"/>
              <w:jc w:val="both"/>
              <w:spacing w:beforeAutospacing="0" w:afterAutospacing="0" w:line="0" w:lineRule="atLeast"/>
            </w:pPr>
            <w:r>
              <w:t xml:space="preserve"> </w:t>
            </w:r>
            <w:r/>
          </w:p>
        </w:tc>
        <w:tc>
          <w:tcPr>
            <w:tcW w:w="1298" w:type="dxa"/>
            <w:vAlign w:val="center"/>
            <w:textDirection w:val="lrTb"/>
            <w:noWrap w:val="false"/>
          </w:tcPr>
          <w:p>
            <w:pPr>
              <w:pStyle w:val="788"/>
              <w:jc w:val="both"/>
              <w:spacing w:beforeAutospacing="0" w:afterAutospacing="0" w:line="0" w:lineRule="atLeast"/>
            </w:pPr>
            <w:r>
              <w:t xml:space="preserve"> </w:t>
            </w:r>
            <w:r/>
          </w:p>
        </w:tc>
        <w:tc>
          <w:tcPr>
            <w:tcW w:w="746" w:type="dxa"/>
            <w:vAlign w:val="center"/>
            <w:textDirection w:val="lrTb"/>
            <w:noWrap w:val="false"/>
          </w:tcPr>
          <w:p>
            <w:pPr>
              <w:pStyle w:val="788"/>
              <w:jc w:val="both"/>
              <w:spacing w:beforeAutospacing="0" w:afterAutospacing="0" w:line="0" w:lineRule="atLeast"/>
            </w:pPr>
            <w:r>
              <w:t xml:space="preserve"> </w:t>
            </w:r>
            <w:r/>
          </w:p>
        </w:tc>
        <w:tc>
          <w:tcPr>
            <w:tcW w:w="918" w:type="dxa"/>
            <w:vAlign w:val="center"/>
            <w:textDirection w:val="lrTb"/>
            <w:noWrap w:val="false"/>
          </w:tcPr>
          <w:p>
            <w:pPr>
              <w:pStyle w:val="788"/>
              <w:jc w:val="both"/>
              <w:spacing w:beforeAutospacing="0" w:afterAutospacing="0" w:line="0" w:lineRule="atLeast"/>
            </w:pPr>
            <w:r>
              <w:t xml:space="preserve"> </w:t>
            </w:r>
            <w:r/>
          </w:p>
        </w:tc>
        <w:tc>
          <w:tcPr>
            <w:tcW w:w="696" w:type="dxa"/>
            <w:vAlign w:val="center"/>
            <w:textDirection w:val="lrTb"/>
            <w:noWrap w:val="false"/>
          </w:tcPr>
          <w:p>
            <w:pPr>
              <w:pStyle w:val="788"/>
              <w:jc w:val="both"/>
              <w:spacing w:beforeAutospacing="0" w:afterAutospacing="0" w:line="0" w:lineRule="atLeast"/>
            </w:pPr>
            <w:r>
              <w:t xml:space="preserve"> </w:t>
            </w:r>
            <w:r/>
          </w:p>
        </w:tc>
        <w:tc>
          <w:tcPr>
            <w:tcW w:w="1261" w:type="dxa"/>
            <w:vAlign w:val="center"/>
            <w:textDirection w:val="lrTb"/>
            <w:noWrap w:val="false"/>
          </w:tcPr>
          <w:p>
            <w:pPr>
              <w:pStyle w:val="788"/>
              <w:jc w:val="both"/>
              <w:spacing w:beforeAutospacing="0" w:afterAutospacing="0" w:line="0" w:lineRule="atLeast"/>
            </w:pPr>
            <w:r>
              <w:t xml:space="preserve"> </w:t>
            </w:r>
            <w:r/>
          </w:p>
        </w:tc>
        <w:tc>
          <w:tcPr>
            <w:tcW w:w="1151" w:type="dxa"/>
            <w:vAlign w:val="center"/>
            <w:textDirection w:val="lrTb"/>
            <w:noWrap w:val="false"/>
          </w:tcPr>
          <w:p>
            <w:pPr>
              <w:pStyle w:val="788"/>
              <w:jc w:val="both"/>
              <w:spacing w:beforeAutospacing="0" w:afterAutospacing="0" w:line="0" w:lineRule="atLeast"/>
            </w:pPr>
            <w:r>
              <w:t xml:space="preserve"> </w:t>
            </w:r>
            <w:r/>
          </w:p>
        </w:tc>
      </w:tr>
      <w:tr>
        <w:trPr>
          <w:tblCellSpacing w:w="0" w:type="dxa"/>
          <w:trHeight w:val="580"/>
        </w:trPr>
        <w:tc>
          <w:tcPr>
            <w:tcW w:w="546" w:type="dxa"/>
            <w:vAlign w:val="center"/>
            <w:textDirection w:val="lrTb"/>
            <w:noWrap w:val="false"/>
          </w:tcPr>
          <w:p>
            <w:pPr>
              <w:pStyle w:val="788"/>
              <w:jc w:val="center"/>
              <w:spacing w:beforeAutospacing="0" w:afterAutospacing="0" w:line="0" w:lineRule="atLeast"/>
            </w:pPr>
            <w:r>
              <w:rPr>
                <w:rFonts w:hint="eastAsia" w:ascii="宋体" w:hAnsi="宋体" w:eastAsia="宋体" w:cs="宋体"/>
                <w:color w:val="000000"/>
              </w:rPr>
              <w:t xml:space="preserve">…</w:t>
            </w:r>
            <w:r/>
          </w:p>
        </w:tc>
        <w:tc>
          <w:tcPr>
            <w:tcW w:w="996" w:type="dxa"/>
            <w:vAlign w:val="center"/>
            <w:textDirection w:val="lrTb"/>
            <w:noWrap w:val="false"/>
          </w:tcPr>
          <w:p>
            <w:pPr>
              <w:pStyle w:val="788"/>
              <w:jc w:val="both"/>
              <w:spacing w:beforeAutospacing="0" w:afterAutospacing="0" w:line="0" w:lineRule="atLeast"/>
            </w:pPr>
            <w:r>
              <w:rPr>
                <w:rFonts w:hint="eastAsia" w:ascii="宋体" w:hAnsi="宋体" w:eastAsia="宋体" w:cs="宋体"/>
                <w:color w:val="000000"/>
              </w:rPr>
              <w:t xml:space="preserve">……</w:t>
            </w:r>
            <w:r/>
          </w:p>
        </w:tc>
        <w:tc>
          <w:tcPr>
            <w:tcW w:w="905" w:type="dxa"/>
            <w:vAlign w:val="center"/>
            <w:textDirection w:val="lrTb"/>
            <w:noWrap w:val="false"/>
          </w:tcPr>
          <w:p>
            <w:pPr>
              <w:pStyle w:val="788"/>
              <w:jc w:val="both"/>
              <w:spacing w:beforeAutospacing="0" w:afterAutospacing="0" w:line="0" w:lineRule="atLeast"/>
            </w:pPr>
            <w:r>
              <w:t xml:space="preserve"> </w:t>
            </w:r>
            <w:r/>
          </w:p>
        </w:tc>
        <w:tc>
          <w:tcPr>
            <w:tcW w:w="1298" w:type="dxa"/>
            <w:vAlign w:val="center"/>
            <w:textDirection w:val="lrTb"/>
            <w:noWrap w:val="false"/>
          </w:tcPr>
          <w:p>
            <w:pPr>
              <w:pStyle w:val="788"/>
              <w:jc w:val="both"/>
              <w:spacing w:beforeAutospacing="0" w:afterAutospacing="0" w:line="0" w:lineRule="atLeast"/>
            </w:pPr>
            <w:r>
              <w:t xml:space="preserve"> </w:t>
            </w:r>
            <w:r/>
          </w:p>
        </w:tc>
        <w:tc>
          <w:tcPr>
            <w:tcW w:w="746" w:type="dxa"/>
            <w:vAlign w:val="center"/>
            <w:textDirection w:val="lrTb"/>
            <w:noWrap w:val="false"/>
          </w:tcPr>
          <w:p>
            <w:pPr>
              <w:pStyle w:val="788"/>
              <w:jc w:val="both"/>
              <w:spacing w:beforeAutospacing="0" w:afterAutospacing="0" w:line="0" w:lineRule="atLeast"/>
            </w:pPr>
            <w:r>
              <w:t xml:space="preserve"> </w:t>
            </w:r>
            <w:r/>
          </w:p>
        </w:tc>
        <w:tc>
          <w:tcPr>
            <w:tcW w:w="918" w:type="dxa"/>
            <w:vAlign w:val="center"/>
            <w:textDirection w:val="lrTb"/>
            <w:noWrap w:val="false"/>
          </w:tcPr>
          <w:p>
            <w:pPr>
              <w:pStyle w:val="788"/>
              <w:jc w:val="both"/>
              <w:spacing w:beforeAutospacing="0" w:afterAutospacing="0" w:line="0" w:lineRule="atLeast"/>
            </w:pPr>
            <w:r>
              <w:t xml:space="preserve"> </w:t>
            </w:r>
            <w:r/>
          </w:p>
        </w:tc>
        <w:tc>
          <w:tcPr>
            <w:tcW w:w="696" w:type="dxa"/>
            <w:vAlign w:val="center"/>
            <w:textDirection w:val="lrTb"/>
            <w:noWrap w:val="false"/>
          </w:tcPr>
          <w:p>
            <w:pPr>
              <w:pStyle w:val="788"/>
              <w:jc w:val="both"/>
              <w:spacing w:beforeAutospacing="0" w:afterAutospacing="0" w:line="0" w:lineRule="atLeast"/>
            </w:pPr>
            <w:r>
              <w:t xml:space="preserve"> </w:t>
            </w:r>
            <w:r/>
          </w:p>
        </w:tc>
        <w:tc>
          <w:tcPr>
            <w:tcW w:w="1261" w:type="dxa"/>
            <w:vAlign w:val="center"/>
            <w:textDirection w:val="lrTb"/>
            <w:noWrap w:val="false"/>
          </w:tcPr>
          <w:p>
            <w:pPr>
              <w:pStyle w:val="788"/>
              <w:jc w:val="both"/>
              <w:spacing w:beforeAutospacing="0" w:afterAutospacing="0" w:line="0" w:lineRule="atLeast"/>
            </w:pPr>
            <w:r>
              <w:t xml:space="preserve"> </w:t>
            </w:r>
            <w:r/>
          </w:p>
        </w:tc>
        <w:tc>
          <w:tcPr>
            <w:tcW w:w="1151" w:type="dxa"/>
            <w:vAlign w:val="center"/>
            <w:textDirection w:val="lrTb"/>
            <w:noWrap w:val="false"/>
          </w:tcPr>
          <w:p>
            <w:pPr>
              <w:pStyle w:val="788"/>
              <w:jc w:val="both"/>
              <w:spacing w:beforeAutospacing="0" w:afterAutospacing="0" w:line="0" w:lineRule="atLeast"/>
            </w:pPr>
            <w:r>
              <w:t xml:space="preserve"> </w:t>
            </w:r>
            <w:r/>
          </w:p>
        </w:tc>
      </w:tr>
      <w:tr>
        <w:trPr>
          <w:tblCellSpacing w:w="0" w:type="dxa"/>
          <w:trHeight w:val="1030"/>
        </w:trPr>
        <w:tc>
          <w:tcPr>
            <w:gridSpan w:val="8"/>
            <w:tcW w:w="7366"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投标总报价（人民币：元）</w:t>
            </w:r>
            <w:r/>
          </w:p>
        </w:tc>
        <w:tc>
          <w:tcPr>
            <w:tcW w:w="1151" w:type="dxa"/>
            <w:vAlign w:val="center"/>
            <w:textDirection w:val="lrTb"/>
            <w:noWrap w:val="false"/>
          </w:tcPr>
          <w:p>
            <w:pPr>
              <w:pStyle w:val="788"/>
              <w:jc w:val="both"/>
              <w:spacing w:beforeAutospacing="0" w:afterAutospacing="0"/>
            </w:pPr>
            <w:r>
              <w:t xml:space="preserve"> </w:t>
            </w:r>
            <w:r/>
          </w:p>
        </w:tc>
      </w:tr>
      <w:tr>
        <w:trPr>
          <w:tblCellSpacing w:w="0" w:type="dxa"/>
          <w:trHeight w:val="1030"/>
        </w:trPr>
        <w:tc>
          <w:tcPr>
            <w:gridSpan w:val="9"/>
            <w:tcW w:w="8517" w:type="dxa"/>
            <w:vAlign w:val="center"/>
            <w:textDirection w:val="lrTb"/>
            <w:noWrap w:val="false"/>
          </w:tcPr>
          <w:p>
            <w:pPr>
              <w:pStyle w:val="788"/>
              <w:jc w:val="both"/>
              <w:spacing w:beforeAutospacing="0" w:afterAutospacing="0"/>
            </w:pPr>
            <w:r>
              <w:rPr>
                <w:rFonts w:hint="eastAsia" w:ascii="宋体" w:hAnsi="宋体" w:eastAsia="宋体" w:cs="宋体"/>
              </w:rPr>
              <w:t xml:space="preserve">本采购包中提供的符合本国产品标准的产品成本之和占该采购包提供的全部产品成本之和的比例为________%。</w:t>
            </w:r>
            <w:bookmarkEnd w:id="232"/>
            <w:r/>
            <w:r/>
          </w:p>
        </w:tc>
      </w:tr>
    </w:tbl>
    <w:p>
      <w:pPr>
        <w:spacing w:line="360" w:lineRule="auto"/>
        <w:rPr>
          <w:rFonts w:hint="eastAsia" w:ascii="宋体" w:hAnsi="宋体" w:eastAsia="宋体" w:cs="宋体"/>
          <w:sz w:val="24"/>
        </w:rPr>
        <w:pBdr>
          <w:top w:val="none" w:color="000000" w:sz="0" w:space="0"/>
          <w:left w:val="none" w:color="000000" w:sz="0" w:space="23"/>
          <w:bottom w:val="none" w:color="000000" w:sz="0" w:space="0"/>
          <w:right w:val="none" w:color="000000" w:sz="0" w:space="0"/>
        </w:pBdr>
      </w:pPr>
      <w:r>
        <w:rPr>
          <w:rFonts w:ascii="宋体" w:hAnsi="宋体" w:eastAsia="宋体" w:cs="宋体"/>
          <w:sz w:val="24"/>
        </w:rPr>
        <w:t xml:space="preserve">备注：</w:t>
      </w:r>
      <w:r/>
    </w:p>
    <w:p>
      <w:pPr>
        <w:spacing w:line="360" w:lineRule="auto"/>
        <w:rPr>
          <w:rFonts w:hint="eastAsia" w:ascii="宋体" w:hAnsi="宋体" w:eastAsia="宋体" w:cs="宋体"/>
          <w:sz w:val="24"/>
        </w:rPr>
        <w:pBdr>
          <w:top w:val="none" w:color="000000" w:sz="0" w:space="0"/>
          <w:left w:val="none" w:color="000000" w:sz="0" w:space="23"/>
          <w:bottom w:val="none" w:color="000000" w:sz="0" w:space="0"/>
          <w:right w:val="none" w:color="000000" w:sz="0" w:space="0"/>
        </w:pBdr>
      </w:pPr>
      <w:r>
        <w:rPr>
          <w:rFonts w:hint="eastAsia" w:ascii="宋体" w:hAnsi="宋体" w:eastAsia="宋体" w:cs="宋体"/>
          <w:sz w:val="24"/>
        </w:rPr>
        <w:t xml:space="preserve">1.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spacing w:line="360" w:lineRule="auto"/>
        <w:rPr>
          <w:rFonts w:hint="eastAsia" w:ascii="宋体" w:hAnsi="宋体" w:eastAsia="宋体" w:cs="宋体"/>
          <w:sz w:val="24"/>
        </w:rPr>
        <w:pBdr>
          <w:top w:val="none" w:color="000000" w:sz="0" w:space="0"/>
          <w:left w:val="none" w:color="000000" w:sz="0" w:space="23"/>
          <w:bottom w:val="none" w:color="000000" w:sz="0" w:space="0"/>
          <w:right w:val="none" w:color="000000" w:sz="0" w:space="0"/>
        </w:pBdr>
      </w:pPr>
      <w:r>
        <w:rPr>
          <w:rFonts w:hint="eastAsia" w:ascii="宋体" w:hAnsi="宋体" w:eastAsia="宋体" w:cs="宋体"/>
          <w:sz w:val="24"/>
        </w:rPr>
        <w:t xml:space="preserve">2.“投标分项报价表”中“投标总报价”数额应当与“开标一览表”中“投标总报价”数额一致</w:t>
      </w:r>
      <w:r>
        <w:rPr>
          <w:rFonts w:ascii="宋体" w:hAnsi="宋体" w:eastAsia="宋体" w:cs="宋体"/>
          <w:sz w:val="24"/>
        </w:rPr>
        <w:t xml:space="preserve">。</w:t>
      </w:r>
      <w:r/>
    </w:p>
    <w:p>
      <w:pPr>
        <w:spacing w:line="360" w:lineRule="auto"/>
        <w:tabs>
          <w:tab w:val="left" w:pos="840" w:leader="none"/>
        </w:tabs>
        <w:rPr>
          <w:rFonts w:hint="eastAsia" w:ascii="宋体" w:hAnsi="宋体" w:eastAsia="宋体" w:cs="宋体"/>
          <w:color w:val="000000"/>
          <w:sz w:val="24"/>
        </w:rPr>
      </w:pPr>
      <w:r>
        <w:rPr>
          <w:rFonts w:hint="eastAsia" w:ascii="宋体" w:hAnsi="宋体" w:eastAsia="宋体" w:cs="宋体"/>
          <w:color w:val="000000"/>
          <w:sz w:val="24"/>
        </w:rPr>
        <w:t xml:space="preserve">3</w:t>
      </w:r>
      <w:r>
        <w:rPr>
          <w:rFonts w:ascii="宋体" w:hAnsi="宋体" w:eastAsia="宋体" w:cs="宋体"/>
          <w:color w:val="000000"/>
          <w:sz w:val="24"/>
        </w:rPr>
        <w:t xml:space="preserve">.</w:t>
      </w:r>
      <w:r>
        <w:rPr>
          <w:rFonts w:hint="eastAsia" w:ascii="宋体" w:hAnsi="宋体" w:eastAsia="宋体" w:cs="宋体"/>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sz w:val="24"/>
        </w:rPr>
      </w:pPr>
      <w:r>
        <w:rPr>
          <w:rFonts w:hint="eastAsia" w:ascii="宋体" w:hAnsi="宋体" w:eastAsia="宋体"/>
          <w:sz w:val="24"/>
        </w:rPr>
      </w:r>
      <w:r/>
    </w:p>
    <w:p>
      <w:pPr>
        <w:jc w:val="right"/>
        <w:spacing w:line="360" w:lineRule="auto"/>
        <w:rPr>
          <w:rFonts w:hint="eastAsia" w:ascii="宋体" w:hAnsi="宋体" w:eastAsia="宋体"/>
          <w:sz w:val="24"/>
        </w:rPr>
      </w:pPr>
      <w:r>
        <w:rPr>
          <w:rFonts w:hint="eastAsia" w:ascii="宋体" w:hAnsi="宋体" w:eastAsia="宋体"/>
          <w:sz w:val="24"/>
        </w:rPr>
        <w:t xml:space="preserve">供应商全称（加盖CA电子公章）：</w:t>
      </w:r>
      <w:r/>
    </w:p>
    <w:p>
      <w:pPr>
        <w:jc w:val="right"/>
        <w:spacing w:line="360" w:lineRule="auto"/>
      </w:pPr>
      <w:r>
        <w:rPr>
          <w:rFonts w:hint="eastAsia" w:ascii="宋体" w:hAnsi="宋体" w:eastAsia="宋体"/>
          <w:sz w:val="24"/>
        </w:rPr>
        <w:t xml:space="preserve">日  期：</w:t>
      </w:r>
      <w:bookmarkEnd w:id="233"/>
      <w:r>
        <w:t xml:space="preserve"> </w:t>
      </w:r>
      <w:r/>
    </w:p>
    <w:p>
      <w:pPr>
        <w:jc w:val="right"/>
        <w:spacing w:line="360" w:lineRule="auto"/>
      </w:pPr>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88"/>
        <w:jc w:val="center"/>
        <w:spacing w:beforeAutospacing="0" w:afterAutospacing="0"/>
      </w:pPr>
      <w:r>
        <w:rPr>
          <w:rFonts w:hint="eastAsia" w:ascii="黑体" w:hAnsi="宋体" w:eastAsia="黑体" w:cs="黑体"/>
          <w:b/>
          <w:color w:val="000000"/>
          <w:sz w:val="32"/>
          <w:szCs w:val="32"/>
        </w:rPr>
        <w:t xml:space="preserve">十三、</w:t>
      </w:r>
      <w:bookmarkStart w:id="234" w:name="OLE_LINK115"/>
      <w:r/>
      <w:bookmarkStart w:id="235" w:name="OLE_LINK104"/>
      <w:r/>
      <w:bookmarkStart w:id="236" w:name="OLE_LINK56"/>
      <w:r>
        <w:rPr>
          <w:rFonts w:hint="eastAsia" w:ascii="黑体" w:hAnsi="宋体" w:eastAsia="黑体" w:cs="黑体"/>
          <w:b/>
          <w:color w:val="000000"/>
          <w:sz w:val="32"/>
          <w:szCs w:val="32"/>
        </w:rPr>
        <w:t xml:space="preserve">技术需求响应及偏离表</w:t>
      </w:r>
      <w:r/>
    </w:p>
    <w:tbl>
      <w:tblPr>
        <w:tblStyle w:val="767"/>
        <w:tblW w:w="889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817"/>
        <w:gridCol w:w="2126"/>
        <w:gridCol w:w="2127"/>
        <w:gridCol w:w="2126"/>
        <w:gridCol w:w="1701"/>
      </w:tblGrid>
      <w:tr>
        <w:trPr>
          <w:tblCellSpacing w:w="0" w:type="dxa"/>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证明</w:t>
            </w:r>
            <w:r/>
          </w:p>
          <w:p>
            <w:pPr>
              <w:pStyle w:val="788"/>
              <w:jc w:val="center"/>
              <w:spacing w:beforeAutospacing="0" w:afterAutospacing="0"/>
            </w:pPr>
            <w:r>
              <w:rPr>
                <w:rFonts w:hint="eastAsia" w:ascii="宋体" w:hAnsi="宋体" w:eastAsia="宋体" w:cs="宋体"/>
                <w:color w:val="000000"/>
              </w:rPr>
              <w:t xml:space="preserve">材料页码</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788"/>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8"/>
              <w:jc w:val="center"/>
              <w:spacing w:beforeAutospacing="0" w:afterAutospacing="0"/>
            </w:pPr>
            <w:r>
              <w:t xml:space="preserve"> </w:t>
            </w:r>
            <w:r/>
          </w:p>
        </w:tc>
      </w:tr>
    </w:tbl>
    <w:p>
      <w:pPr>
        <w:pStyle w:val="788"/>
        <w:spacing w:beforeAutospacing="0" w:afterAutospacing="0"/>
        <w:rPr>
          <w:rFonts w:hint="eastAsia" w:ascii="黑体" w:hAnsi="宋体" w:eastAsia="黑体" w:cs="黑体"/>
          <w:b/>
          <w:color w:val="000000"/>
          <w:sz w:val="32"/>
          <w:szCs w:val="32"/>
        </w:rPr>
      </w:pPr>
      <w:r>
        <w:rPr>
          <w:rFonts w:hint="eastAsia" w:ascii="宋体" w:hAnsi="宋体" w:eastAsia="宋体" w:cs="宋体"/>
          <w:color w:val="000000"/>
        </w:rPr>
        <w:t xml:space="preserve">注： 行数不够，可自行添加。</w:t>
      </w:r>
      <w:bookmarkEnd w:id="234"/>
      <w:r/>
      <w:bookmarkEnd w:id="235"/>
      <w:r/>
      <w:bookmarkEnd w:id="236"/>
      <w:r/>
      <w:bookmarkStart w:id="237" w:name="_Hlt26955054"/>
      <w:r/>
      <w:r/>
    </w:p>
    <w:p>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788"/>
        <w:ind w:firstLine="2570"/>
        <w:spacing w:beforeAutospacing="0" w:afterAutospacing="0"/>
      </w:pPr>
      <w:r>
        <w:rPr>
          <w:rFonts w:hint="eastAsia" w:ascii="黑体" w:hAnsi="宋体" w:eastAsia="黑体" w:cs="黑体"/>
          <w:b/>
          <w:color w:val="000000"/>
          <w:sz w:val="32"/>
          <w:szCs w:val="32"/>
        </w:rPr>
        <w:t xml:space="preserve">十四、</w:t>
      </w:r>
      <w:bookmarkStart w:id="238" w:name="OLE_LINK57"/>
      <w:r/>
      <w:bookmarkStart w:id="239" w:name="OLE_LINK105"/>
      <w:r/>
      <w:bookmarkStart w:id="240" w:name="OLE_LINK106"/>
      <w:r>
        <w:rPr>
          <w:rFonts w:hint="eastAsia" w:ascii="黑体" w:hAnsi="宋体" w:eastAsia="黑体" w:cs="黑体"/>
          <w:b/>
          <w:color w:val="000000"/>
          <w:sz w:val="32"/>
          <w:szCs w:val="32"/>
        </w:rPr>
        <w:t xml:space="preserve">商务需求响应及偏离表</w:t>
      </w:r>
      <w:r/>
    </w:p>
    <w:tbl>
      <w:tblPr>
        <w:tblStyle w:val="767"/>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pStyle w:val="788"/>
              <w:jc w:val="center"/>
              <w:spacing w:beforeAutospacing="0" w:afterAutospacing="0"/>
            </w:pPr>
            <w:r/>
            <w:bookmarkStart w:id="241" w:name="_Hlt26671343"/>
            <w:r/>
            <w:bookmarkStart w:id="242" w:name="_Hlt24879081"/>
            <w:r/>
            <w:bookmarkStart w:id="243" w:name="_Hlt26955064"/>
            <w:r/>
            <w:bookmarkStart w:id="244" w:name="_Hlt26671372"/>
            <w:r/>
            <w:bookmarkStart w:id="245" w:name="_Hlt26580838"/>
            <w:r/>
            <w:bookmarkStart w:id="246" w:name="_Hlt26782999"/>
            <w:r/>
            <w:bookmarkStart w:id="247" w:name="_Hlt26955056"/>
            <w:r/>
            <w:bookmarkStart w:id="248" w:name="_Hlt26609391"/>
            <w:r>
              <w:rPr>
                <w:rFonts w:hint="eastAsia" w:ascii="宋体" w:hAnsi="宋体" w:eastAsia="宋体" w:cs="宋体"/>
                <w:color w:val="000000"/>
              </w:rPr>
              <w:t xml:space="preserve">序号</w:t>
            </w:r>
            <w:bookmarkEnd w:id="241"/>
            <w:r/>
            <w:bookmarkEnd w:id="242"/>
            <w:r/>
            <w:bookmarkEnd w:id="243"/>
            <w:r/>
            <w:bookmarkEnd w:id="244"/>
            <w:r/>
            <w:bookmarkEnd w:id="245"/>
            <w:r/>
            <w:bookmarkEnd w:id="246"/>
            <w:r/>
            <w:bookmarkEnd w:id="247"/>
            <w:r/>
            <w:bookmarkEnd w:id="248"/>
            <w:r/>
            <w:r/>
          </w:p>
        </w:tc>
        <w:tc>
          <w:tcPr>
            <w:tcW w:w="1843"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招标文件要求</w:t>
            </w:r>
            <w:r/>
          </w:p>
        </w:tc>
        <w:tc>
          <w:tcPr>
            <w:tcW w:w="2410"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投标响应情况</w:t>
            </w:r>
            <w:r/>
          </w:p>
        </w:tc>
        <w:tc>
          <w:tcPr>
            <w:tcW w:w="2349"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超出、符合或偏离</w:t>
            </w:r>
            <w:r/>
          </w:p>
        </w:tc>
        <w:tc>
          <w:tcPr>
            <w:tcW w:w="1101"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证明</w:t>
            </w:r>
            <w:r/>
          </w:p>
          <w:p>
            <w:pPr>
              <w:pStyle w:val="78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t xml:space="preserve"> </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t xml:space="preserve"> </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t xml:space="preserve"> </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t xml:space="preserve"> </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t xml:space="preserve"> </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t xml:space="preserve"> </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t xml:space="preserve"> </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r>
        <w:trPr>
          <w:tblCellSpacing w:w="0" w:type="dxa"/>
          <w:trHeight w:val="640"/>
        </w:trPr>
        <w:tc>
          <w:tcPr>
            <w:tcW w:w="817" w:type="dxa"/>
            <w:vAlign w:val="center"/>
            <w:textDirection w:val="lrTb"/>
            <w:noWrap w:val="false"/>
          </w:tcPr>
          <w:p>
            <w:pPr>
              <w:pStyle w:val="788"/>
              <w:jc w:val="center"/>
              <w:spacing w:beforeAutospacing="0" w:afterAutospacing="0"/>
            </w:pPr>
            <w:r>
              <w:t xml:space="preserve"> </w:t>
            </w:r>
            <w:r/>
          </w:p>
        </w:tc>
        <w:tc>
          <w:tcPr>
            <w:tcW w:w="1843"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w:t>
            </w:r>
            <w:r/>
          </w:p>
        </w:tc>
        <w:tc>
          <w:tcPr>
            <w:tcW w:w="2410" w:type="dxa"/>
            <w:vAlign w:val="center"/>
            <w:textDirection w:val="lrTb"/>
            <w:noWrap w:val="false"/>
          </w:tcPr>
          <w:p>
            <w:pPr>
              <w:pStyle w:val="788"/>
              <w:jc w:val="center"/>
              <w:spacing w:beforeAutospacing="0" w:afterAutospacing="0"/>
            </w:pPr>
            <w:r>
              <w:t xml:space="preserve"> </w:t>
            </w:r>
            <w:r/>
          </w:p>
        </w:tc>
        <w:tc>
          <w:tcPr>
            <w:tcW w:w="2349" w:type="dxa"/>
            <w:vAlign w:val="center"/>
            <w:textDirection w:val="lrTb"/>
            <w:noWrap w:val="false"/>
          </w:tcPr>
          <w:p>
            <w:pPr>
              <w:pStyle w:val="788"/>
              <w:jc w:val="center"/>
              <w:spacing w:beforeAutospacing="0" w:afterAutospacing="0"/>
            </w:pPr>
            <w:r>
              <w:t xml:space="preserve"> </w:t>
            </w:r>
            <w:r/>
          </w:p>
        </w:tc>
        <w:tc>
          <w:tcPr>
            <w:tcW w:w="1101" w:type="dxa"/>
            <w:vAlign w:val="center"/>
            <w:textDirection w:val="lrTb"/>
            <w:noWrap w:val="false"/>
          </w:tcPr>
          <w:p>
            <w:pPr>
              <w:pStyle w:val="788"/>
              <w:jc w:val="center"/>
              <w:spacing w:beforeAutospacing="0" w:afterAutospacing="0"/>
            </w:pPr>
            <w:r>
              <w:t xml:space="preserve"> </w:t>
            </w:r>
            <w:r/>
          </w:p>
        </w:tc>
      </w:tr>
    </w:tbl>
    <w:p>
      <w:pPr>
        <w:pStyle w:val="788"/>
        <w:spacing w:beforeAutospacing="0" w:afterAutospacing="0"/>
      </w:pPr>
      <w:r>
        <w:rPr>
          <w:rFonts w:hint="eastAsia" w:ascii="宋体" w:hAnsi="宋体" w:eastAsia="宋体" w:cs="宋体"/>
          <w:color w:val="000000"/>
        </w:rPr>
        <w:t xml:space="preserve">注： 行数不够，可自行添加。</w:t>
      </w:r>
      <w:bookmarkEnd w:id="238"/>
      <w:r/>
      <w:bookmarkEnd w:id="239"/>
      <w:r/>
      <w:bookmarkEnd w:id="240"/>
      <w:r/>
      <w:r/>
    </w:p>
    <w:p>
      <w:pPr>
        <w:rPr>
          <w:rFonts w:cs="黑体"/>
          <w:b/>
          <w:i/>
          <w:sz w:val="32"/>
          <w:szCs w:val="32"/>
          <w:u w:val="single"/>
          <w:shd w:val="clear" w:color="auto" w:fill="ffffff" w:themeFill="background1"/>
        </w:rPr>
      </w:pPr>
      <w:r/>
      <w:bookmarkStart w:id="249" w:name="_Hlt26671374"/>
      <w:r/>
      <w:bookmarkStart w:id="250" w:name="_Hlt26609389"/>
      <w:r/>
      <w:bookmarkStart w:id="251" w:name="_Hlt26955066"/>
      <w:r/>
      <w:bookmarkStart w:id="252" w:name="_格式2__法定代表人授权书"/>
      <w:r/>
      <w:bookmarkStart w:id="253" w:name="_Toc462564146"/>
      <w:r>
        <w:rPr>
          <w:rFonts w:hint="eastAsia" w:cs="黑体"/>
          <w:b/>
          <w:i/>
          <w:sz w:val="32"/>
          <w:szCs w:val="32"/>
          <w:u w:val="single"/>
          <w:shd w:val="clear" w:color="auto" w:fill="ffffff" w:themeFill="background1"/>
        </w:rPr>
        <w:br w:type="page" w:clear="all"/>
      </w:r>
      <w:r/>
    </w:p>
    <w:p>
      <w:pPr>
        <w:pStyle w:val="788"/>
        <w:ind w:firstLine="2891"/>
        <w:rPr>
          <w:shd w:val="clear" w:color="auto" w:fill="ffffff" w:themeFill="background1"/>
        </w:rPr>
      </w:pPr>
      <w:r>
        <w:rPr>
          <w:rFonts w:hint="eastAsia" w:cs="黑体"/>
          <w:b/>
          <w:i/>
          <w:sz w:val="32"/>
          <w:szCs w:val="32"/>
          <w:u w:val="single"/>
          <w:shd w:val="clear" w:color="auto" w:fill="ffffff" w:themeFill="background1"/>
        </w:rPr>
        <w:t xml:space="preserve">十五、开标一览表</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投标人全称（CA公章）： </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项目名称：</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项目编号：</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分包号：</w:t>
      </w:r>
      <w:r/>
    </w:p>
    <w:tbl>
      <w:tblPr>
        <w:tblStyle w:val="767"/>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88"/>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88"/>
              <w:spacing w:beforeAutospacing="0" w:afterAutospacing="0" w:line="0" w:lineRule="atLeast"/>
              <w:rPr>
                <w:rFonts w:hint="eastAsia"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788"/>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788"/>
              <w:jc w:val="both"/>
              <w:spacing w:beforeAutospacing="0" w:afterAutospacing="0" w:line="300" w:lineRule="auto"/>
            </w:pPr>
            <w:r>
              <w:rPr>
                <w:rFonts w:hint="eastAsia" w:ascii="宋体" w:hAnsi="宋体" w:eastAsia="宋体" w:cs="宋体"/>
                <w:color w:val="000000"/>
              </w:rPr>
              <w:t xml:space="preserve">核心产品品牌</w:t>
            </w:r>
            <w:r/>
          </w:p>
        </w:tc>
        <w:tc>
          <w:tcPr>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788"/>
              <w:spacing w:beforeAutospacing="0" w:afterAutospacing="0" w:line="0" w:lineRule="atLeast"/>
            </w:pPr>
            <w:r>
              <w:t xml:space="preserve"> </w:t>
            </w:r>
            <w:r/>
          </w:p>
        </w:tc>
      </w:tr>
    </w:tbl>
    <w:p>
      <w:pPr>
        <w:spacing w:before="50" w:after="50"/>
        <w:widowControl/>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cs="宋体"/>
          <w:shd w:val="clear" w:color="auto" w:fill="ffffff" w:themeFill="background1"/>
        </w:rPr>
      </w:pPr>
      <w:r>
        <w:rPr>
          <w:rFonts w:hint="eastAsia" w:ascii="宋体" w:hAnsi="宋体" w:eastAsia="宋体" w:cs="宋体"/>
          <w:shd w:val="clear" w:color="auto" w:fill="ffffff" w:themeFill="background1"/>
        </w:rPr>
      </w:r>
      <w:r/>
    </w:p>
    <w:p>
      <w:pPr>
        <w:rPr>
          <w:rFonts w:hint="eastAsia" w:ascii="宋体" w:hAnsi="宋体" w:eastAsia="宋体" w:cs="宋体"/>
          <w:shd w:val="clear" w:color="auto" w:fill="ffffff" w:themeFill="background1"/>
        </w:rPr>
      </w:pPr>
      <w:r>
        <w:rPr>
          <w:rFonts w:hint="eastAsia" w:ascii="宋体" w:hAnsi="宋体" w:eastAsia="宋体" w:cs="宋体"/>
          <w:shd w:val="clear" w:color="auto" w:fill="ffffff" w:themeFill="background1"/>
        </w:rPr>
      </w:r>
      <w:r/>
    </w:p>
    <w:p>
      <w:pPr>
        <w:jc w:val="right"/>
        <w:rPr>
          <w:sz w:val="24"/>
        </w:rPr>
      </w:pPr>
      <w:r>
        <w:rPr>
          <w:rFonts w:hint="eastAsia"/>
          <w:sz w:val="24"/>
        </w:rPr>
        <w:t xml:space="preserve">日期：</w:t>
      </w:r>
      <w:r>
        <w:rPr>
          <w:sz w:val="24"/>
        </w:rPr>
        <w:t xml:space="preserve">       </w:t>
      </w:r>
      <w:r>
        <w:rPr>
          <w:rFonts w:hint="eastAsia"/>
          <w:sz w:val="24"/>
        </w:rPr>
        <w:t xml:space="preserve">年</w:t>
      </w:r>
      <w:r>
        <w:rPr>
          <w:sz w:val="24"/>
        </w:rPr>
        <w:t xml:space="preserve">      </w:t>
      </w:r>
      <w:r>
        <w:rPr>
          <w:rFonts w:hint="eastAsia"/>
          <w:sz w:val="24"/>
        </w:rPr>
        <w:t xml:space="preserve">月</w:t>
      </w:r>
      <w:r>
        <w:rPr>
          <w:sz w:val="24"/>
        </w:rPr>
        <w:t xml:space="preserve">      </w:t>
      </w:r>
      <w:r>
        <w:rPr>
          <w:rFonts w:hint="eastAsia"/>
          <w:sz w:val="24"/>
        </w:rPr>
        <w:t xml:space="preserve">日</w:t>
      </w:r>
      <w:r/>
    </w:p>
    <w:p>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clear="all"/>
      </w:r>
      <w:r/>
    </w:p>
    <w:p>
      <w:pPr>
        <w:jc w:val="center"/>
        <w:spacing w:before="50" w:after="50"/>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十六、</w:t>
      </w:r>
      <w:bookmarkStart w:id="254" w:name="OLE_LINK58"/>
      <w:r/>
      <w:bookmarkStart w:id="255" w:name="OLE_LINK116"/>
      <w:r>
        <w:rPr>
          <w:rFonts w:hint="eastAsia" w:ascii="宋体" w:hAnsi="宋体" w:eastAsia="宋体" w:cs="宋体"/>
          <w:b/>
          <w:bCs/>
          <w:color w:val="000000"/>
          <w:sz w:val="32"/>
          <w:szCs w:val="32"/>
        </w:rPr>
        <w:t xml:space="preserve">招标文件中规定要求提供的证明材料和投标人认为需要提供的其他材料</w:t>
      </w:r>
      <w:bookmarkEnd w:id="254"/>
      <w:r/>
      <w:bookmarkEnd w:id="255"/>
      <w:r/>
      <w:r/>
    </w:p>
    <w:p>
      <w:pPr>
        <w:rPr>
          <w:rFonts w:hint="eastAsia" w:ascii="宋体" w:hAnsi="宋体" w:eastAsia="宋体" w:cs="宋体"/>
          <w:b/>
          <w:bCs/>
          <w:color w:val="000000"/>
          <w:sz w:val="32"/>
          <w:szCs w:val="32"/>
        </w:rPr>
      </w:pPr>
      <w:r/>
      <w:bookmarkStart w:id="256" w:name="_Hlk194934185"/>
      <w:r>
        <w:rPr>
          <w:rFonts w:hint="eastAsia" w:ascii="宋体" w:hAnsi="宋体" w:eastAsia="宋体" w:cs="宋体"/>
          <w:b/>
          <w:bCs/>
          <w:color w:val="000000"/>
          <w:sz w:val="32"/>
          <w:szCs w:val="32"/>
        </w:rPr>
        <w:br w:type="page" w:clear="all"/>
      </w:r>
      <w:r/>
    </w:p>
    <w:p>
      <w:pPr>
        <w:jc w:val="center"/>
        <w:spacing w:line="499" w:lineRule="atLeast"/>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十七、</w:t>
      </w:r>
      <w:bookmarkStart w:id="257" w:name="OLE_LINK117"/>
      <w:r/>
      <w:bookmarkStart w:id="258" w:name="OLE_LINK59"/>
      <w:r>
        <w:rPr>
          <w:rFonts w:hint="eastAsia" w:ascii="宋体" w:hAnsi="宋体" w:eastAsia="宋体" w:cs="宋体"/>
          <w:b/>
          <w:bCs/>
          <w:color w:val="000000"/>
          <w:sz w:val="32"/>
          <w:szCs w:val="32"/>
        </w:rPr>
        <w:t xml:space="preserve">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ind w:firstLine="2891"/>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ind w:firstLine="2891"/>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ind w:left="450" w:hanging="24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w:t>
      </w:r>
      <w:r>
        <w:rPr>
          <w:rFonts w:ascii="宋体" w:hAnsi="宋体" w:eastAsia="宋体" w:cs="宋体"/>
          <w:color w:val="000000"/>
          <w:sz w:val="24"/>
        </w:rPr>
        <w:t xml:space="preserve">            </w:t>
      </w:r>
      <w:r>
        <w:rPr>
          <w:rFonts w:hint="eastAsia" w:ascii="宋体" w:hAnsi="宋体" w:eastAsia="宋体" w:cs="宋体"/>
          <w:color w:val="000000"/>
          <w:sz w:val="24"/>
        </w:rPr>
        <w:t xml:space="preserve">年 </w:t>
      </w:r>
      <w:r>
        <w:rPr>
          <w:rFonts w:ascii="宋体" w:hAnsi="宋体" w:eastAsia="宋体" w:cs="宋体"/>
          <w:color w:val="000000"/>
          <w:sz w:val="24"/>
        </w:rPr>
        <w:t xml:space="preserve"> </w:t>
      </w:r>
      <w:r>
        <w:rPr>
          <w:rFonts w:hint="eastAsia" w:ascii="宋体" w:hAnsi="宋体" w:eastAsia="宋体" w:cs="宋体"/>
          <w:color w:val="000000"/>
          <w:sz w:val="24"/>
        </w:rPr>
        <w:t xml:space="preserve">月 </w:t>
      </w:r>
      <w:r>
        <w:rPr>
          <w:rFonts w:ascii="宋体" w:hAnsi="宋体" w:eastAsia="宋体" w:cs="宋体"/>
          <w:color w:val="000000"/>
          <w:sz w:val="24"/>
        </w:rPr>
        <w:t xml:space="preserve"> </w:t>
      </w:r>
      <w:r>
        <w:rPr>
          <w:rFonts w:hint="eastAsia" w:ascii="宋体" w:hAnsi="宋体" w:eastAsia="宋体" w:cs="宋体"/>
          <w:color w:val="000000"/>
          <w:sz w:val="24"/>
        </w:rPr>
        <w:t xml:space="preserve">日</w:t>
      </w:r>
      <w:bookmarkEnd w:id="256"/>
      <w:r/>
      <w:bookmarkEnd w:id="257"/>
      <w:r/>
      <w:r/>
    </w:p>
    <w:p>
      <w:pPr>
        <w:pStyle w:val="788"/>
        <w:spacing w:beforeAutospacing="0" w:afterAutospacing="0"/>
      </w:pPr>
      <w:r/>
      <w:r/>
    </w:p>
    <w:p>
      <w:pPr>
        <w:pStyle w:val="788"/>
        <w:spacing w:beforeAutospacing="0" w:afterAutospacing="0"/>
      </w:pPr>
      <w:r/>
      <w:bookmarkEnd w:id="12"/>
      <w:r/>
      <w:bookmarkEnd w:id="72"/>
      <w:r/>
      <w:bookmarkEnd w:id="119"/>
      <w:r/>
      <w:bookmarkEnd w:id="120"/>
      <w:r/>
      <w:bookmarkEnd w:id="121"/>
      <w:r/>
      <w:bookmarkEnd w:id="122"/>
      <w:r/>
      <w:bookmarkEnd w:id="123"/>
      <w:r/>
      <w:bookmarkEnd w:id="124"/>
      <w:r/>
      <w:bookmarkEnd w:id="125"/>
      <w:r/>
      <w:bookmarkEnd w:id="126"/>
      <w:r/>
      <w:bookmarkEnd w:id="135"/>
      <w:r/>
      <w:bookmarkEnd w:id="136"/>
      <w:r/>
      <w:bookmarkEnd w:id="143"/>
      <w:r/>
      <w:bookmarkEnd w:id="192"/>
      <w:r/>
      <w:bookmarkEnd w:id="201"/>
      <w:r/>
      <w:bookmarkEnd w:id="204"/>
      <w:r/>
      <w:bookmarkEnd w:id="205"/>
      <w:r/>
      <w:bookmarkEnd w:id="206"/>
      <w:r/>
      <w:bookmarkEnd w:id="219"/>
      <w:r/>
      <w:bookmarkEnd w:id="221"/>
      <w:r/>
      <w:bookmarkEnd w:id="222"/>
      <w:r/>
      <w:bookmarkEnd w:id="223"/>
      <w:r/>
      <w:bookmarkEnd w:id="237"/>
      <w:r/>
      <w:bookmarkEnd w:id="249"/>
      <w:r/>
      <w:bookmarkEnd w:id="250"/>
      <w:r/>
      <w:bookmarkEnd w:id="251"/>
      <w:r/>
      <w:bookmarkEnd w:id="252"/>
      <w:r/>
      <w:bookmarkEnd w:id="253"/>
      <w:r/>
      <w:bookmarkEnd w:id="258"/>
      <w:r/>
      <w:r/>
    </w:p>
    <w:p>
      <w:pPr>
        <w:pStyle w:val="788"/>
        <w:spacing w:beforeAutospacing="0" w:afterAutospacing="0"/>
      </w:pPr>
      <w:r/>
      <w:r/>
    </w:p>
    <w:p>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r/>
    </w:p>
    <w:p>
      <w:pPr>
        <w:pStyle w:val="788"/>
        <w:ind w:firstLine="3855"/>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788"/>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788"/>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88"/>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788"/>
        <w:ind w:firstLine="2880"/>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788"/>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788"/>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pStyle w:val="788"/>
        <w:spacing w:beforeAutospacing="0" w:afterAutospacing="0" w:line="0" w:lineRule="atLeast"/>
        <w:rPr>
          <w:rFonts w:hint="eastAsia" w:ascii="宋体" w:hAnsi="宋体" w:eastAsia="宋体" w:cs="宋体"/>
          <w:b/>
          <w:color w:val="000000"/>
        </w:rPr>
      </w:pPr>
      <w:r>
        <w:rPr>
          <w:rFonts w:hint="eastAsia" w:ascii="宋体" w:hAnsi="宋体" w:eastAsia="宋体" w:cs="宋体"/>
          <w:b/>
          <w:color w:val="000000"/>
        </w:rPr>
      </w:r>
      <w:r/>
    </w:p>
    <w:p>
      <w:pPr>
        <w:rPr>
          <w:rFonts w:hint="eastAsia" w:ascii="宋体" w:hAnsi="宋体" w:eastAsia="宋体" w:cs="宋体"/>
          <w:b/>
          <w:color w:val="000000"/>
        </w:rPr>
      </w:pPr>
      <w:r>
        <w:rPr>
          <w:rFonts w:hint="eastAsia" w:ascii="宋体" w:hAnsi="宋体" w:eastAsia="宋体" w:cs="宋体"/>
          <w:b/>
          <w:color w:val="000000"/>
        </w:rPr>
        <w:br w:type="page" w:clear="all"/>
      </w:r>
      <w:r/>
    </w:p>
    <w:p>
      <w:pPr>
        <w:pStyle w:val="788"/>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788"/>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88"/>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8"/>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88"/>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88"/>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788"/>
        <w:spacing w:beforeAutospacing="0" w:afterAutospacing="0" w:line="360" w:lineRule="auto"/>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88"/>
        <w:ind w:firstLine="2891"/>
        <w:spacing w:beforeAutospacing="0" w:afterAutospacing="0"/>
      </w:p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3"/>
  </w:num>
  <w:num w:numId="4">
    <w:abstractNumId w:val="4"/>
    <w:lvlOverride w:ilvl="0">
      <w:startOverride w:val="2"/>
    </w:lvlOverride>
  </w:num>
  <w:num w:numId="5">
    <w:abstractNumId w:val="0"/>
    <w:lvlOverride w:ilvl="0">
      <w:startOverride w:val="6"/>
    </w:lvlOverride>
  </w:num>
  <w:num w:numId="6">
    <w:abstractNumId w:val="5"/>
    <w:lvlOverride w:ilvl="0">
      <w:startOverride w:val="16"/>
    </w:lvlOverride>
  </w:num>
  <w:num w:numId="7">
    <w:abstractNumId w:val="7"/>
    <w:lvlOverride w:ilvl="0">
      <w:startOverride w:val="23"/>
    </w:lvlOverride>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3 Char"/>
    <w:basedOn w:val="766"/>
    <w:link w:val="759"/>
    <w:uiPriority w:val="9"/>
    <w:rPr>
      <w:rFonts w:ascii="Arial" w:hAnsi="Arial" w:eastAsia="Arial" w:cs="Arial"/>
      <w:sz w:val="30"/>
      <w:szCs w:val="30"/>
    </w:rPr>
  </w:style>
  <w:style w:type="character" w:styleId="725">
    <w:name w:val="Heading 5 Char"/>
    <w:basedOn w:val="766"/>
    <w:link w:val="761"/>
    <w:uiPriority w:val="9"/>
    <w:rPr>
      <w:rFonts w:ascii="Arial" w:hAnsi="Arial" w:eastAsia="Arial" w:cs="Arial"/>
      <w:b/>
      <w:bCs/>
      <w:sz w:val="24"/>
      <w:szCs w:val="24"/>
    </w:rPr>
  </w:style>
  <w:style w:type="character" w:styleId="726">
    <w:name w:val="Heading 6 Char"/>
    <w:basedOn w:val="766"/>
    <w:link w:val="762"/>
    <w:uiPriority w:val="9"/>
    <w:rPr>
      <w:rFonts w:ascii="Arial" w:hAnsi="Arial" w:eastAsia="Arial" w:cs="Arial"/>
      <w:b/>
      <w:bCs/>
      <w:sz w:val="22"/>
      <w:szCs w:val="22"/>
    </w:rPr>
  </w:style>
  <w:style w:type="character" w:styleId="727">
    <w:name w:val="Heading 7 Char"/>
    <w:basedOn w:val="766"/>
    <w:link w:val="763"/>
    <w:uiPriority w:val="9"/>
    <w:rPr>
      <w:rFonts w:ascii="Arial" w:hAnsi="Arial" w:eastAsia="Arial" w:cs="Arial"/>
      <w:b/>
      <w:bCs/>
      <w:i/>
      <w:iCs/>
      <w:sz w:val="22"/>
      <w:szCs w:val="22"/>
    </w:rPr>
  </w:style>
  <w:style w:type="character" w:styleId="728">
    <w:name w:val="Heading 8 Char"/>
    <w:basedOn w:val="766"/>
    <w:link w:val="764"/>
    <w:uiPriority w:val="9"/>
    <w:rPr>
      <w:rFonts w:ascii="Arial" w:hAnsi="Arial" w:eastAsia="Arial" w:cs="Arial"/>
      <w:i/>
      <w:iCs/>
      <w:sz w:val="22"/>
      <w:szCs w:val="22"/>
    </w:rPr>
  </w:style>
  <w:style w:type="character" w:styleId="729">
    <w:name w:val="Heading 9 Char"/>
    <w:basedOn w:val="766"/>
    <w:link w:val="765"/>
    <w:uiPriority w:val="9"/>
    <w:rPr>
      <w:rFonts w:ascii="Arial" w:hAnsi="Arial" w:eastAsia="Arial" w:cs="Arial"/>
      <w:i/>
      <w:iCs/>
      <w:sz w:val="21"/>
      <w:szCs w:val="21"/>
    </w:rPr>
  </w:style>
  <w:style w:type="character" w:styleId="730">
    <w:name w:val="Title Char"/>
    <w:basedOn w:val="766"/>
    <w:link w:val="789"/>
    <w:uiPriority w:val="10"/>
    <w:rPr>
      <w:sz w:val="48"/>
      <w:szCs w:val="48"/>
    </w:rPr>
  </w:style>
  <w:style w:type="character" w:styleId="731">
    <w:name w:val="Subtitle Char"/>
    <w:basedOn w:val="766"/>
    <w:link w:val="782"/>
    <w:uiPriority w:val="11"/>
    <w:rPr>
      <w:sz w:val="24"/>
      <w:szCs w:val="24"/>
    </w:rPr>
  </w:style>
  <w:style w:type="character" w:styleId="732">
    <w:name w:val="Quote Char"/>
    <w:link w:val="810"/>
    <w:uiPriority w:val="29"/>
    <w:rPr>
      <w:i/>
    </w:rPr>
  </w:style>
  <w:style w:type="character" w:styleId="733">
    <w:name w:val="Intense Quote Char"/>
    <w:link w:val="812"/>
    <w:uiPriority w:val="30"/>
    <w:rPr>
      <w:i/>
    </w:rPr>
  </w:style>
  <w:style w:type="table" w:styleId="734">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2">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3">
    <w:name w:val="Footnote Text Char"/>
    <w:link w:val="783"/>
    <w:uiPriority w:val="99"/>
    <w:rPr>
      <w:sz w:val="18"/>
    </w:rPr>
  </w:style>
  <w:style w:type="character" w:styleId="754">
    <w:name w:val="Endnote Text Char"/>
    <w:link w:val="777"/>
    <w:uiPriority w:val="99"/>
    <w:rPr>
      <w:sz w:val="20"/>
    </w:rPr>
  </w:style>
  <w:style w:type="paragraph" w:styleId="755">
    <w:name w:val="TOC Heading"/>
    <w:uiPriority w:val="39"/>
    <w:unhideWhenUsed/>
  </w:style>
  <w:style w:type="paragraph" w:styleId="75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57">
    <w:name w:val="Heading 1"/>
    <w:basedOn w:val="756"/>
    <w:next w:val="756"/>
    <w:link w:val="959"/>
    <w:uiPriority w:val="0"/>
    <w:qFormat/>
    <w:pPr>
      <w:keepLines/>
      <w:keepNext/>
      <w:spacing w:before="340" w:after="330" w:line="578" w:lineRule="auto"/>
      <w:outlineLvl w:val="0"/>
    </w:pPr>
    <w:rPr>
      <w:b/>
      <w:bCs/>
      <w:sz w:val="44"/>
      <w:szCs w:val="44"/>
    </w:rPr>
  </w:style>
  <w:style w:type="paragraph" w:styleId="758">
    <w:name w:val="Heading 2"/>
    <w:basedOn w:val="756"/>
    <w:next w:val="756"/>
    <w:uiPriority w:val="0"/>
    <w:unhideWhenUsed/>
    <w:qFormat/>
    <w:pPr>
      <w:jc w:val="center"/>
      <w:spacing w:line="360" w:lineRule="auto"/>
      <w:shd w:val="clear" w:color="auto" w:fill="ffffff"/>
      <w:widowControl/>
      <w:outlineLvl w:val="1"/>
    </w:pPr>
    <w:rPr>
      <w:rFonts w:ascii="宋体" w:hAnsi="宋体" w:eastAsia="宋体" w:cs="宋体"/>
      <w:b/>
      <w:bCs/>
      <w:color w:val="333333"/>
      <w:sz w:val="24"/>
      <w:shd w:val="clear" w:color="auto" w:fill="ffffff"/>
    </w:rPr>
  </w:style>
  <w:style w:type="paragraph" w:styleId="759">
    <w:name w:val="Heading 3"/>
    <w:basedOn w:val="756"/>
    <w:next w:val="756"/>
    <w:link w:val="800"/>
    <w:uiPriority w:val="9"/>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961"/>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61">
    <w:name w:val="Heading 5"/>
    <w:basedOn w:val="756"/>
    <w:next w:val="756"/>
    <w:link w:val="802"/>
    <w:uiPriority w:val="9"/>
    <w:unhideWhenUsed/>
    <w:qFormat/>
    <w:pPr>
      <w:keepLines/>
      <w:keepNext/>
      <w:spacing w:before="320" w:after="200"/>
      <w:outlineLvl w:val="4"/>
    </w:pPr>
    <w:rPr>
      <w:rFonts w:ascii="Arial" w:hAnsi="Arial" w:eastAsia="Arial" w:cs="Arial"/>
      <w:b/>
      <w:bCs/>
      <w:sz w:val="24"/>
    </w:rPr>
  </w:style>
  <w:style w:type="paragraph" w:styleId="762">
    <w:name w:val="Heading 6"/>
    <w:basedOn w:val="756"/>
    <w:next w:val="756"/>
    <w:link w:val="803"/>
    <w:uiPriority w:val="9"/>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05"/>
    <w:uiPriority w:val="9"/>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06"/>
    <w:uiPriority w:val="9"/>
    <w:unhideWhenUsed/>
    <w:qFormat/>
    <w:pPr>
      <w:keepLines/>
      <w:keepNext/>
      <w:spacing w:before="320" w:after="200"/>
      <w:outlineLvl w:val="8"/>
    </w:pPr>
    <w:rPr>
      <w:rFonts w:ascii="Arial" w:hAnsi="Arial" w:eastAsia="Arial" w:cs="Arial"/>
      <w:i/>
      <w:iCs/>
      <w:szCs w:val="21"/>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toc 7"/>
    <w:basedOn w:val="756"/>
    <w:next w:val="756"/>
    <w:uiPriority w:val="0"/>
    <w:qFormat/>
    <w:pPr>
      <w:ind w:left="2520"/>
    </w:pPr>
  </w:style>
  <w:style w:type="paragraph" w:styleId="769">
    <w:name w:val="Caption"/>
    <w:basedOn w:val="756"/>
    <w:next w:val="75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0">
    <w:name w:val="annotation text"/>
    <w:basedOn w:val="756"/>
    <w:link w:val="956"/>
    <w:uiPriority w:val="0"/>
    <w:qFormat/>
    <w:pPr>
      <w:jc w:val="left"/>
    </w:pPr>
  </w:style>
  <w:style w:type="paragraph" w:styleId="771">
    <w:name w:val="Body Text"/>
    <w:basedOn w:val="756"/>
    <w:link w:val="953"/>
    <w:uiPriority w:val="0"/>
    <w:unhideWhenUsed/>
    <w:qFormat/>
    <w:pPr>
      <w:spacing w:after="120"/>
    </w:pPr>
    <w:rPr>
      <w:rFonts w:ascii="Calibri" w:hAnsi="Calibri"/>
      <w:szCs w:val="22"/>
    </w:rPr>
  </w:style>
  <w:style w:type="paragraph" w:styleId="772">
    <w:name w:val="toc 5"/>
    <w:basedOn w:val="756"/>
    <w:next w:val="756"/>
    <w:uiPriority w:val="39"/>
    <w:unhideWhenUsed/>
    <w:qFormat/>
    <w:pPr>
      <w:ind w:left="1134"/>
      <w:spacing w:after="57"/>
    </w:pPr>
  </w:style>
  <w:style w:type="paragraph" w:styleId="773">
    <w:name w:val="toc 3"/>
    <w:basedOn w:val="756"/>
    <w:next w:val="756"/>
    <w:uiPriority w:val="39"/>
    <w:unhideWhenUsed/>
    <w:qFormat/>
    <w:pPr>
      <w:ind w:left="567"/>
      <w:spacing w:after="57"/>
    </w:pPr>
  </w:style>
  <w:style w:type="paragraph" w:styleId="774">
    <w:name w:val="Plain Text"/>
    <w:basedOn w:val="756"/>
    <w:link w:val="960"/>
    <w:uiPriority w:val="0"/>
    <w:unhideWhenUsed/>
    <w:qFormat/>
    <w:rPr>
      <w:rFonts w:ascii="宋体" w:hAnsi="Courier New" w:cs="Courier New"/>
      <w:szCs w:val="21"/>
    </w:rPr>
  </w:style>
  <w:style w:type="paragraph" w:styleId="775">
    <w:name w:val="toc 8"/>
    <w:basedOn w:val="756"/>
    <w:next w:val="756"/>
    <w:uiPriority w:val="39"/>
    <w:unhideWhenUsed/>
    <w:qFormat/>
    <w:pPr>
      <w:ind w:left="1984"/>
      <w:spacing w:after="57"/>
    </w:pPr>
  </w:style>
  <w:style w:type="paragraph" w:styleId="776">
    <w:name w:val="Date"/>
    <w:basedOn w:val="756"/>
    <w:next w:val="756"/>
    <w:link w:val="962"/>
    <w:uiPriority w:val="0"/>
    <w:qFormat/>
    <w:pPr>
      <w:ind w:left="100"/>
    </w:pPr>
  </w:style>
  <w:style w:type="paragraph" w:styleId="777">
    <w:name w:val="endnote text"/>
    <w:basedOn w:val="756"/>
    <w:link w:val="943"/>
    <w:uiPriority w:val="99"/>
    <w:semiHidden/>
    <w:unhideWhenUsed/>
    <w:qFormat/>
    <w:rPr>
      <w:sz w:val="20"/>
    </w:rPr>
  </w:style>
  <w:style w:type="paragraph" w:styleId="778">
    <w:name w:val="Footer"/>
    <w:basedOn w:val="756"/>
    <w:link w:val="947"/>
    <w:uiPriority w:val="0"/>
    <w:qFormat/>
    <w:pPr>
      <w:jc w:val="left"/>
      <w:tabs>
        <w:tab w:val="center" w:pos="4153" w:leader="none"/>
        <w:tab w:val="right" w:pos="8306" w:leader="none"/>
      </w:tabs>
    </w:pPr>
    <w:rPr>
      <w:sz w:val="18"/>
      <w:szCs w:val="18"/>
    </w:rPr>
  </w:style>
  <w:style w:type="paragraph" w:styleId="779">
    <w:name w:val="Header"/>
    <w:basedOn w:val="756"/>
    <w:link w:val="946"/>
    <w:uiPriority w:val="0"/>
    <w:qFormat/>
    <w:pPr>
      <w:jc w:val="center"/>
      <w:tabs>
        <w:tab w:val="center" w:pos="4153" w:leader="none"/>
        <w:tab w:val="right" w:pos="8306" w:leader="none"/>
      </w:tabs>
      <w:pBdr>
        <w:bottom w:val="single" w:color="auto" w:sz="6" w:space="1"/>
      </w:pBdr>
    </w:pPr>
    <w:rPr>
      <w:sz w:val="18"/>
      <w:szCs w:val="18"/>
    </w:rPr>
  </w:style>
  <w:style w:type="paragraph" w:styleId="780">
    <w:name w:val="toc 1"/>
    <w:basedOn w:val="756"/>
    <w:next w:val="756"/>
    <w:uiPriority w:val="39"/>
    <w:unhideWhenUsed/>
    <w:qFormat/>
    <w:pPr>
      <w:spacing w:after="57"/>
    </w:pPr>
  </w:style>
  <w:style w:type="paragraph" w:styleId="781">
    <w:name w:val="toc 4"/>
    <w:basedOn w:val="756"/>
    <w:next w:val="756"/>
    <w:uiPriority w:val="39"/>
    <w:unhideWhenUsed/>
    <w:qFormat/>
    <w:pPr>
      <w:ind w:left="850"/>
      <w:spacing w:after="57"/>
    </w:pPr>
  </w:style>
  <w:style w:type="paragraph" w:styleId="782">
    <w:name w:val="Subtitle"/>
    <w:basedOn w:val="756"/>
    <w:next w:val="756"/>
    <w:link w:val="809"/>
    <w:uiPriority w:val="11"/>
    <w:qFormat/>
    <w:pPr>
      <w:spacing w:before="200" w:after="200"/>
    </w:pPr>
    <w:rPr>
      <w:sz w:val="24"/>
    </w:rPr>
  </w:style>
  <w:style w:type="paragraph" w:styleId="783">
    <w:name w:val="footnote text"/>
    <w:basedOn w:val="756"/>
    <w:link w:val="942"/>
    <w:uiPriority w:val="99"/>
    <w:semiHidden/>
    <w:unhideWhenUsed/>
    <w:qFormat/>
    <w:pPr>
      <w:spacing w:after="40"/>
    </w:pPr>
    <w:rPr>
      <w:sz w:val="18"/>
    </w:rPr>
  </w:style>
  <w:style w:type="paragraph" w:styleId="784">
    <w:name w:val="toc 6"/>
    <w:basedOn w:val="756"/>
    <w:next w:val="756"/>
    <w:uiPriority w:val="39"/>
    <w:unhideWhenUsed/>
    <w:qFormat/>
    <w:pPr>
      <w:ind w:left="1417"/>
      <w:spacing w:after="57"/>
    </w:pPr>
  </w:style>
  <w:style w:type="paragraph" w:styleId="785">
    <w:name w:val="table of figures"/>
    <w:basedOn w:val="756"/>
    <w:next w:val="756"/>
    <w:uiPriority w:val="99"/>
    <w:unhideWhenUsed/>
    <w:qFormat/>
  </w:style>
  <w:style w:type="paragraph" w:styleId="786">
    <w:name w:val="toc 2"/>
    <w:basedOn w:val="756"/>
    <w:next w:val="756"/>
    <w:uiPriority w:val="39"/>
    <w:unhideWhenUsed/>
    <w:qFormat/>
    <w:pPr>
      <w:ind w:left="283"/>
      <w:spacing w:after="57"/>
    </w:pPr>
  </w:style>
  <w:style w:type="paragraph" w:styleId="787">
    <w:name w:val="toc 9"/>
    <w:basedOn w:val="756"/>
    <w:next w:val="756"/>
    <w:uiPriority w:val="39"/>
    <w:unhideWhenUsed/>
    <w:qFormat/>
    <w:pPr>
      <w:ind w:left="2268"/>
      <w:spacing w:after="57"/>
    </w:pPr>
  </w:style>
  <w:style w:type="paragraph" w:styleId="788">
    <w:name w:val="Normal (Web)"/>
    <w:basedOn w:val="756"/>
    <w:uiPriority w:val="0"/>
    <w:qFormat/>
    <w:pPr>
      <w:jc w:val="left"/>
      <w:spacing w:beforeAutospacing="1" w:afterAutospacing="1"/>
    </w:pPr>
    <w:rPr>
      <w:rFonts w:cs="Times New Roman"/>
      <w:sz w:val="24"/>
    </w:rPr>
  </w:style>
  <w:style w:type="paragraph" w:styleId="789">
    <w:name w:val="Title"/>
    <w:basedOn w:val="756"/>
    <w:next w:val="756"/>
    <w:link w:val="808"/>
    <w:uiPriority w:val="10"/>
    <w:qFormat/>
    <w:pPr>
      <w:contextualSpacing/>
      <w:spacing w:before="300" w:after="200"/>
    </w:pPr>
    <w:rPr>
      <w:sz w:val="48"/>
      <w:szCs w:val="48"/>
    </w:rPr>
  </w:style>
  <w:style w:type="paragraph" w:styleId="790">
    <w:name w:val="annotation subject"/>
    <w:basedOn w:val="770"/>
    <w:next w:val="770"/>
    <w:link w:val="957"/>
    <w:uiPriority w:val="0"/>
    <w:qFormat/>
    <w:rPr>
      <w:b/>
      <w:bCs/>
    </w:rPr>
  </w:style>
  <w:style w:type="paragraph" w:styleId="791">
    <w:name w:val="Body Text First Indent"/>
    <w:basedOn w:val="771"/>
    <w:link w:val="954"/>
    <w:uiPriority w:val="0"/>
    <w:qFormat/>
    <w:pPr>
      <w:ind w:firstLine="420"/>
    </w:pPr>
    <w:rPr>
      <w:rFonts w:asciiTheme="minorHAnsi" w:hAnsiTheme="minorHAnsi"/>
      <w:szCs w:val="24"/>
    </w:rPr>
  </w:style>
  <w:style w:type="table" w:styleId="792">
    <w:name w:val="Table Grid"/>
    <w:basedOn w:val="7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Strong"/>
    <w:basedOn w:val="766"/>
    <w:uiPriority w:val="22"/>
    <w:qFormat/>
    <w:rPr>
      <w:b/>
      <w:bCs/>
    </w:rPr>
  </w:style>
  <w:style w:type="character" w:styleId="794">
    <w:name w:val="endnote reference"/>
    <w:basedOn w:val="766"/>
    <w:uiPriority w:val="99"/>
    <w:semiHidden/>
    <w:unhideWhenUsed/>
    <w:qFormat/>
    <w:rPr>
      <w:vertAlign w:val="superscript"/>
    </w:rPr>
  </w:style>
  <w:style w:type="character" w:styleId="795">
    <w:name w:val="Hyperlink"/>
    <w:uiPriority w:val="99"/>
    <w:unhideWhenUsed/>
    <w:qFormat/>
    <w:rPr>
      <w:color w:val="0563c1" w:themeColor="hyperlink"/>
      <w:u w:val="single"/>
      <w14:textFill>
        <w14:solidFill>
          <w14:schemeClr w14:val="hlink"/>
        </w14:solidFill>
      </w14:textFill>
    </w:rPr>
  </w:style>
  <w:style w:type="character" w:styleId="796">
    <w:name w:val="annotation reference"/>
    <w:basedOn w:val="766"/>
    <w:uiPriority w:val="0"/>
    <w:qFormat/>
    <w:rPr>
      <w:sz w:val="21"/>
      <w:szCs w:val="21"/>
    </w:rPr>
  </w:style>
  <w:style w:type="character" w:styleId="797">
    <w:name w:val="footnote reference"/>
    <w:basedOn w:val="766"/>
    <w:uiPriority w:val="99"/>
    <w:unhideWhenUsed/>
    <w:qFormat/>
    <w:rPr>
      <w:vertAlign w:val="superscript"/>
    </w:rPr>
  </w:style>
  <w:style w:type="character" w:styleId="798" w:customStyle="1">
    <w:name w:val="Heading 1 Char"/>
    <w:basedOn w:val="766"/>
    <w:uiPriority w:val="9"/>
    <w:qFormat/>
    <w:rPr>
      <w:rFonts w:ascii="Arial" w:hAnsi="Arial" w:eastAsia="Arial" w:cs="Arial"/>
      <w:sz w:val="40"/>
      <w:szCs w:val="40"/>
    </w:rPr>
  </w:style>
  <w:style w:type="character" w:styleId="799" w:customStyle="1">
    <w:name w:val="Heading 2 Char"/>
    <w:basedOn w:val="766"/>
    <w:uiPriority w:val="9"/>
    <w:qFormat/>
    <w:rPr>
      <w:rFonts w:ascii="Arial" w:hAnsi="Arial" w:eastAsia="Arial" w:cs="Arial"/>
      <w:sz w:val="34"/>
    </w:rPr>
  </w:style>
  <w:style w:type="character" w:styleId="800" w:customStyle="1">
    <w:name w:val="标题 3 字符"/>
    <w:basedOn w:val="766"/>
    <w:link w:val="759"/>
    <w:uiPriority w:val="9"/>
    <w:qFormat/>
    <w:rPr>
      <w:rFonts w:ascii="Arial" w:hAnsi="Arial" w:eastAsia="Arial" w:cs="Arial"/>
      <w:sz w:val="30"/>
      <w:szCs w:val="30"/>
    </w:rPr>
  </w:style>
  <w:style w:type="character" w:styleId="801" w:customStyle="1">
    <w:name w:val="Heading 4 Char"/>
    <w:basedOn w:val="766"/>
    <w:uiPriority w:val="9"/>
    <w:qFormat/>
    <w:rPr>
      <w:rFonts w:ascii="Arial" w:hAnsi="Arial" w:eastAsia="Arial" w:cs="Arial"/>
      <w:b/>
      <w:bCs/>
      <w:sz w:val="26"/>
      <w:szCs w:val="26"/>
    </w:rPr>
  </w:style>
  <w:style w:type="character" w:styleId="802" w:customStyle="1">
    <w:name w:val="标题 5 字符"/>
    <w:basedOn w:val="766"/>
    <w:link w:val="761"/>
    <w:uiPriority w:val="9"/>
    <w:qFormat/>
    <w:rPr>
      <w:rFonts w:ascii="Arial" w:hAnsi="Arial" w:eastAsia="Arial" w:cs="Arial"/>
      <w:b/>
      <w:bCs/>
      <w:sz w:val="24"/>
      <w:szCs w:val="24"/>
    </w:rPr>
  </w:style>
  <w:style w:type="character" w:styleId="803" w:customStyle="1">
    <w:name w:val="标题 6 字符"/>
    <w:basedOn w:val="766"/>
    <w:link w:val="762"/>
    <w:uiPriority w:val="9"/>
    <w:qFormat/>
    <w:rPr>
      <w:rFonts w:ascii="Arial" w:hAnsi="Arial" w:eastAsia="Arial" w:cs="Arial"/>
      <w:b/>
      <w:bCs/>
      <w:sz w:val="22"/>
      <w:szCs w:val="22"/>
    </w:rPr>
  </w:style>
  <w:style w:type="character" w:styleId="804" w:customStyle="1">
    <w:name w:val="标题 7 字符"/>
    <w:basedOn w:val="766"/>
    <w:link w:val="763"/>
    <w:uiPriority w:val="9"/>
    <w:qFormat/>
    <w:rPr>
      <w:rFonts w:ascii="Arial" w:hAnsi="Arial" w:eastAsia="Arial" w:cs="Arial"/>
      <w:b/>
      <w:bCs/>
      <w:i/>
      <w:iCs/>
      <w:sz w:val="22"/>
      <w:szCs w:val="22"/>
    </w:rPr>
  </w:style>
  <w:style w:type="character" w:styleId="805" w:customStyle="1">
    <w:name w:val="标题 8 字符"/>
    <w:basedOn w:val="766"/>
    <w:link w:val="764"/>
    <w:uiPriority w:val="9"/>
    <w:qFormat/>
    <w:rPr>
      <w:rFonts w:ascii="Arial" w:hAnsi="Arial" w:eastAsia="Arial" w:cs="Arial"/>
      <w:i/>
      <w:iCs/>
      <w:sz w:val="22"/>
      <w:szCs w:val="22"/>
    </w:rPr>
  </w:style>
  <w:style w:type="character" w:styleId="806" w:customStyle="1">
    <w:name w:val="标题 9 字符"/>
    <w:basedOn w:val="766"/>
    <w:link w:val="765"/>
    <w:uiPriority w:val="9"/>
    <w:qFormat/>
    <w:rPr>
      <w:rFonts w:ascii="Arial" w:hAnsi="Arial" w:eastAsia="Arial" w:cs="Arial"/>
      <w:i/>
      <w:iCs/>
      <w:sz w:val="21"/>
      <w:szCs w:val="21"/>
    </w:rPr>
  </w:style>
  <w:style w:type="paragraph" w:styleId="807">
    <w:name w:val="No Spacing"/>
    <w:uiPriority w:val="1"/>
    <w:qFormat/>
    <w:rPr>
      <w:rFonts w:ascii="Times New Roman" w:hAnsi="Times New Roman" w:eastAsia="宋体" w:cs="Times New Roman"/>
      <w:lang w:val="en-US" w:eastAsia="zh-CN" w:bidi="ar-SA"/>
    </w:rPr>
  </w:style>
  <w:style w:type="character" w:styleId="808" w:customStyle="1">
    <w:name w:val="标题 字符"/>
    <w:basedOn w:val="766"/>
    <w:link w:val="789"/>
    <w:uiPriority w:val="10"/>
    <w:qFormat/>
    <w:rPr>
      <w:sz w:val="48"/>
      <w:szCs w:val="48"/>
    </w:rPr>
  </w:style>
  <w:style w:type="character" w:styleId="809" w:customStyle="1">
    <w:name w:val="副标题 字符"/>
    <w:basedOn w:val="766"/>
    <w:link w:val="782"/>
    <w:uiPriority w:val="11"/>
    <w:qFormat/>
    <w:rPr>
      <w:sz w:val="24"/>
      <w:szCs w:val="24"/>
    </w:rPr>
  </w:style>
  <w:style w:type="paragraph" w:styleId="810">
    <w:name w:val="Quote"/>
    <w:basedOn w:val="756"/>
    <w:next w:val="756"/>
    <w:link w:val="811"/>
    <w:uiPriority w:val="29"/>
    <w:qFormat/>
    <w:pPr>
      <w:ind w:left="720" w:right="720"/>
    </w:pPr>
    <w:rPr>
      <w:i/>
    </w:rPr>
  </w:style>
  <w:style w:type="character" w:styleId="811" w:customStyle="1">
    <w:name w:val="引用 字符"/>
    <w:link w:val="810"/>
    <w:uiPriority w:val="29"/>
    <w:qFormat/>
    <w:rPr>
      <w:i/>
    </w:rPr>
  </w:style>
  <w:style w:type="paragraph" w:styleId="812">
    <w:name w:val="Intense Quote"/>
    <w:basedOn w:val="756"/>
    <w:next w:val="756"/>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qFormat/>
    <w:rPr>
      <w:i/>
    </w:rPr>
  </w:style>
  <w:style w:type="character" w:styleId="814" w:customStyle="1">
    <w:name w:val="Header Char"/>
    <w:basedOn w:val="766"/>
    <w:uiPriority w:val="99"/>
    <w:qFormat/>
  </w:style>
  <w:style w:type="character" w:styleId="815" w:customStyle="1">
    <w:name w:val="Footer Char"/>
    <w:basedOn w:val="766"/>
    <w:uiPriority w:val="99"/>
    <w:qFormat/>
  </w:style>
  <w:style w:type="character" w:styleId="816" w:customStyle="1">
    <w:name w:val="Caption Char"/>
    <w:uiPriority w:val="99"/>
    <w:qFormat/>
  </w:style>
  <w:style w:type="table" w:styleId="817" w:customStyle="1">
    <w:name w:val="Table Grid Light"/>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8" w:customStyle="1">
    <w:name w:val="无格式表格 11"/>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6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6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6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6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6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6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6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6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6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6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6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6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网格表 31"/>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6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6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6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6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6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6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basedOn w:val="7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6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6" w:customStyle="1">
    <w:name w:val="Grid Table 4 - Accent 2"/>
    <w:basedOn w:val="76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7" w:customStyle="1">
    <w:name w:val="Grid Table 4 - Accent 3"/>
    <w:basedOn w:val="76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8" w:customStyle="1">
    <w:name w:val="Grid Table 4 - Accent 4"/>
    <w:basedOn w:val="76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9" w:customStyle="1">
    <w:name w:val="Grid Table 4 - Accent 5"/>
    <w:basedOn w:val="76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0" w:customStyle="1">
    <w:name w:val="Grid Table 4 - Accent 6"/>
    <w:basedOn w:val="76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1" w:customStyle="1">
    <w:name w:val="网格表 5 深色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3" w:customStyle="1">
    <w:name w:val="Grid Table 5 Dark - Accent 2"/>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4" w:customStyle="1">
    <w:name w:val="Grid Table 5 Dark - Accent 3"/>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5" w:customStyle="1">
    <w:name w:val="Grid Table 5 Dark- Accent 4"/>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6" w:customStyle="1">
    <w:name w:val="Grid Table 5 Dark - Accent 5"/>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7" w:customStyle="1">
    <w:name w:val="Grid Table 5 Dark - Accent 6"/>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8" w:customStyle="1">
    <w:name w:val="网格表 6 彩色1"/>
    <w:basedOn w:val="7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basedOn w:val="76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0" w:customStyle="1">
    <w:name w:val="Grid Table 6 Colorful - Accent 2"/>
    <w:basedOn w:val="76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1" w:customStyle="1">
    <w:name w:val="Grid Table 6 Colorful - Accent 3"/>
    <w:basedOn w:val="76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2" w:customStyle="1">
    <w:name w:val="Grid Table 6 Colorful - Accent 4"/>
    <w:basedOn w:val="76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3" w:customStyle="1">
    <w:name w:val="Grid Table 6 Colorful - Accent 5"/>
    <w:basedOn w:val="76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Grid Table 6 Colorful - Accent 6"/>
    <w:basedOn w:val="76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网格表 7 彩色1"/>
    <w:basedOn w:val="7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6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6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6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6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6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6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2" w:customStyle="1">
    <w:name w:val="清单表 1 浅色1"/>
    <w:basedOn w:val="7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6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6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6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6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6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6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清单表 21"/>
    <w:basedOn w:val="7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basedOn w:val="76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1" w:customStyle="1">
    <w:name w:val="List Table 2 - Accent 2"/>
    <w:basedOn w:val="76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2" w:customStyle="1">
    <w:name w:val="List Table 2 - Accent 3"/>
    <w:basedOn w:val="76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3" w:customStyle="1">
    <w:name w:val="List Table 2 - Accent 4"/>
    <w:basedOn w:val="76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4" w:customStyle="1">
    <w:name w:val="List Table 2 - Accent 5"/>
    <w:basedOn w:val="76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5" w:customStyle="1">
    <w:name w:val="List Table 2 - Accent 6"/>
    <w:basedOn w:val="76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6" w:customStyle="1">
    <w:name w:val="清单表 3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6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3 - Accent 2"/>
    <w:basedOn w:val="76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6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6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6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6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3" w:customStyle="1">
    <w:name w:val="清单表 4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6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4 - Accent 2"/>
    <w:basedOn w:val="76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6" w:customStyle="1">
    <w:name w:val="List Table 4 - Accent 3"/>
    <w:basedOn w:val="76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7" w:customStyle="1">
    <w:name w:val="List Table 4 - Accent 4"/>
    <w:basedOn w:val="76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8" w:customStyle="1">
    <w:name w:val="List Table 4 - Accent 5"/>
    <w:basedOn w:val="76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9" w:customStyle="1">
    <w:name w:val="List Table 4 - Accent 6"/>
    <w:basedOn w:val="76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0" w:customStyle="1">
    <w:name w:val="清单表 5 深色1"/>
    <w:basedOn w:val="7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basedOn w:val="76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basedOn w:val="76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basedOn w:val="76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basedOn w:val="76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basedOn w:val="76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basedOn w:val="76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清单表 6 彩色1"/>
    <w:basedOn w:val="7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basedOn w:val="76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9" w:customStyle="1">
    <w:name w:val="List Table 6 Colorful - Accent 2"/>
    <w:basedOn w:val="76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0" w:customStyle="1">
    <w:name w:val="List Table 6 Colorful - Accent 3"/>
    <w:basedOn w:val="76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1" w:customStyle="1">
    <w:name w:val="List Table 6 Colorful - Accent 4"/>
    <w:basedOn w:val="76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2" w:customStyle="1">
    <w:name w:val="List Table 6 Colorful - Accent 5"/>
    <w:basedOn w:val="76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3" w:customStyle="1">
    <w:name w:val="List Table 6 Colorful - Accent 6"/>
    <w:basedOn w:val="76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4" w:customStyle="1">
    <w:name w:val="清单表 7 彩色1"/>
    <w:basedOn w:val="7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6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6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6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6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6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6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Lined - Accent 2"/>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Lined - Accent 3"/>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Lined - Accent 4"/>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Lined - Accent 5"/>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Lined - Accent 6"/>
    <w:basedOn w:val="7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amp; Lined - Accent"/>
    <w:basedOn w:val="7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basedOn w:val="76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Bordered &amp; Lined - Accent 2"/>
    <w:basedOn w:val="76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Bordered &amp; Lined - Accent 3"/>
    <w:basedOn w:val="76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Bordered &amp; Lined - Accent 4"/>
    <w:basedOn w:val="76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Bordered &amp; Lined - Accent 5"/>
    <w:basedOn w:val="76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Bordered &amp; Lined - Accent 6"/>
    <w:basedOn w:val="76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w:basedOn w:val="7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basedOn w:val="76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7" w:customStyle="1">
    <w:name w:val="Bordered - Accent 2"/>
    <w:basedOn w:val="76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8" w:customStyle="1">
    <w:name w:val="Bordered - Accent 3"/>
    <w:basedOn w:val="76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9" w:customStyle="1">
    <w:name w:val="Bordered - Accent 4"/>
    <w:basedOn w:val="76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0" w:customStyle="1">
    <w:name w:val="Bordered - Accent 5"/>
    <w:basedOn w:val="76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1" w:customStyle="1">
    <w:name w:val="Bordered - Accent 6"/>
    <w:basedOn w:val="76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2" w:customStyle="1">
    <w:name w:val="脚注文本 字符"/>
    <w:link w:val="783"/>
    <w:uiPriority w:val="99"/>
    <w:qFormat/>
    <w:rPr>
      <w:sz w:val="18"/>
    </w:rPr>
  </w:style>
  <w:style w:type="character" w:styleId="943" w:customStyle="1">
    <w:name w:val="尾注文本 字符"/>
    <w:link w:val="777"/>
    <w:uiPriority w:val="99"/>
    <w:qFormat/>
    <w:rPr>
      <w:sz w:val="20"/>
    </w:rPr>
  </w:style>
  <w:style w:type="paragraph" w:styleId="944" w:customStyle="1">
    <w:name w:val="TOC 标题1"/>
    <w:uiPriority w:val="39"/>
    <w:unhideWhenUsed/>
    <w:qFormat/>
    <w:rPr>
      <w:rFonts w:ascii="Times New Roman" w:hAnsi="Times New Roman" w:eastAsia="宋体" w:cs="Times New Roman"/>
      <w:lang w:val="en-US" w:eastAsia="zh-CN" w:bidi="ar-SA"/>
    </w:rPr>
  </w:style>
  <w:style w:type="paragraph" w:styleId="945" w:customStyle="1">
    <w:name w:val="Default"/>
    <w:basedOn w:val="756"/>
    <w:uiPriority w:val="0"/>
    <w:semiHidden/>
    <w:qFormat/>
    <w:pPr>
      <w:jc w:val="left"/>
    </w:pPr>
    <w:rPr>
      <w:rFonts w:ascii="宋体" w:hAnsi="Calibri" w:cs="宋体"/>
      <w:color w:val="000000"/>
      <w:sz w:val="24"/>
    </w:rPr>
  </w:style>
  <w:style w:type="character" w:styleId="946" w:customStyle="1">
    <w:name w:val="页眉 字符"/>
    <w:basedOn w:val="766"/>
    <w:link w:val="779"/>
    <w:uiPriority w:val="0"/>
    <w:qFormat/>
    <w:rPr>
      <w:rFonts w:asciiTheme="minorHAnsi" w:hAnsiTheme="minorHAnsi" w:eastAsiaTheme="minorEastAsia" w:cstheme="minorBidi"/>
      <w:sz w:val="18"/>
      <w:szCs w:val="18"/>
    </w:rPr>
  </w:style>
  <w:style w:type="character" w:styleId="947" w:customStyle="1">
    <w:name w:val="页脚 字符"/>
    <w:basedOn w:val="766"/>
    <w:link w:val="778"/>
    <w:uiPriority w:val="0"/>
    <w:qFormat/>
    <w:rPr>
      <w:rFonts w:asciiTheme="minorHAnsi" w:hAnsiTheme="minorHAnsi" w:eastAsiaTheme="minorEastAsia" w:cstheme="minorBidi"/>
      <w:sz w:val="18"/>
      <w:szCs w:val="18"/>
    </w:rPr>
  </w:style>
  <w:style w:type="paragraph" w:styleId="94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49" w:customStyle="1">
    <w:name w:val="页脚1"/>
    <w:basedOn w:val="756"/>
    <w:uiPriority w:val="99"/>
    <w:unhideWhenUsed/>
    <w:qFormat/>
    <w:pPr>
      <w:jc w:val="left"/>
      <w:tabs>
        <w:tab w:val="center" w:pos="4153" w:leader="none"/>
        <w:tab w:val="right" w:pos="8306" w:leader="none"/>
      </w:tabs>
    </w:pPr>
    <w:rPr>
      <w:sz w:val="18"/>
      <w:szCs w:val="18"/>
    </w:rPr>
  </w:style>
  <w:style w:type="paragraph" w:styleId="950" w:customStyle="1">
    <w:name w:val="普通正文"/>
    <w:basedOn w:val="756"/>
    <w:uiPriority w:val="0"/>
    <w:qFormat/>
    <w:pPr>
      <w:ind w:firstLine="480"/>
      <w:jc w:val="left"/>
      <w:spacing w:before="120" w:after="120" w:line="360" w:lineRule="auto"/>
    </w:pPr>
    <w:rPr>
      <w:rFonts w:ascii="Arial" w:hAnsi="Arial" w:eastAsia="等线" w:cs="Arial"/>
      <w:sz w:val="24"/>
    </w:rPr>
  </w:style>
  <w:style w:type="paragraph" w:styleId="951" w:customStyle="1">
    <w:name w:val="正文首行缩进 21"/>
    <w:basedOn w:val="952"/>
    <w:uiPriority w:val="0"/>
    <w:qFormat/>
    <w:pPr>
      <w:ind w:firstLine="420"/>
    </w:pPr>
  </w:style>
  <w:style w:type="paragraph" w:styleId="952" w:customStyle="1">
    <w:name w:val="正文文本缩进1"/>
    <w:basedOn w:val="756"/>
    <w:uiPriority w:val="0"/>
    <w:qFormat/>
    <w:pPr>
      <w:ind w:left="420"/>
      <w:spacing w:after="120"/>
    </w:pPr>
  </w:style>
  <w:style w:type="character" w:styleId="953" w:customStyle="1">
    <w:name w:val="正文文本 字符"/>
    <w:basedOn w:val="766"/>
    <w:link w:val="771"/>
    <w:uiPriority w:val="0"/>
    <w:qFormat/>
    <w:rPr>
      <w:rFonts w:ascii="Calibri" w:hAnsi="Calibri" w:eastAsiaTheme="minorEastAsia" w:cstheme="minorBidi"/>
      <w:sz w:val="21"/>
      <w:szCs w:val="22"/>
    </w:rPr>
  </w:style>
  <w:style w:type="character" w:styleId="954" w:customStyle="1">
    <w:name w:val="正文文本首行缩进 字符"/>
    <w:basedOn w:val="953"/>
    <w:link w:val="791"/>
    <w:uiPriority w:val="0"/>
    <w:qFormat/>
    <w:rPr>
      <w:rFonts w:asciiTheme="minorHAnsi" w:hAnsiTheme="minorHAnsi" w:eastAsiaTheme="minorEastAsia" w:cstheme="minorBidi"/>
      <w:sz w:val="21"/>
      <w:szCs w:val="24"/>
    </w:rPr>
  </w:style>
  <w:style w:type="paragraph" w:styleId="955">
    <w:name w:val="List Paragraph"/>
    <w:basedOn w:val="756"/>
    <w:uiPriority w:val="99"/>
    <w:unhideWhenUsed/>
    <w:qFormat/>
    <w:pPr>
      <w:ind w:firstLine="420"/>
    </w:pPr>
  </w:style>
  <w:style w:type="character" w:styleId="956" w:customStyle="1">
    <w:name w:val="批注文字 字符"/>
    <w:basedOn w:val="766"/>
    <w:link w:val="770"/>
    <w:uiPriority w:val="0"/>
    <w:qFormat/>
    <w:rPr>
      <w:rFonts w:asciiTheme="minorHAnsi" w:hAnsiTheme="minorHAnsi" w:eastAsiaTheme="minorEastAsia" w:cstheme="minorBidi"/>
      <w:sz w:val="21"/>
      <w:szCs w:val="24"/>
    </w:rPr>
  </w:style>
  <w:style w:type="character" w:styleId="957" w:customStyle="1">
    <w:name w:val="批注主题 字符"/>
    <w:basedOn w:val="956"/>
    <w:link w:val="790"/>
    <w:uiPriority w:val="0"/>
    <w:qFormat/>
    <w:rPr>
      <w:rFonts w:asciiTheme="minorHAnsi" w:hAnsiTheme="minorHAnsi" w:eastAsiaTheme="minorEastAsia" w:cstheme="minorBidi"/>
      <w:b/>
      <w:bCs/>
      <w:sz w:val="21"/>
      <w:szCs w:val="24"/>
    </w:rPr>
  </w:style>
  <w:style w:type="paragraph" w:styleId="958" w:customStyle="1">
    <w:name w:val="paragraph"/>
    <w:basedOn w:val="756"/>
    <w:uiPriority w:val="0"/>
    <w:semiHidden/>
    <w:qFormat/>
    <w:pPr>
      <w:jc w:val="left"/>
      <w:spacing w:before="100" w:beforeAutospacing="1" w:after="100" w:afterAutospacing="1"/>
      <w:widowControl/>
    </w:pPr>
    <w:rPr>
      <w:rFonts w:ascii="等线" w:hAnsi="等线" w:eastAsia="等线" w:cs="Times New Roman"/>
      <w:sz w:val="24"/>
    </w:rPr>
  </w:style>
  <w:style w:type="character" w:styleId="959" w:customStyle="1">
    <w:name w:val="标题 1 字符"/>
    <w:basedOn w:val="766"/>
    <w:link w:val="757"/>
    <w:uiPriority w:val="0"/>
    <w:qFormat/>
    <w:rPr>
      <w:rFonts w:asciiTheme="minorHAnsi" w:hAnsiTheme="minorHAnsi" w:eastAsiaTheme="minorEastAsia" w:cstheme="minorBidi"/>
      <w:b/>
      <w:bCs/>
      <w:sz w:val="44"/>
      <w:szCs w:val="44"/>
    </w:rPr>
  </w:style>
  <w:style w:type="character" w:styleId="960" w:customStyle="1">
    <w:name w:val="纯文本 字符"/>
    <w:basedOn w:val="766"/>
    <w:link w:val="774"/>
    <w:uiPriority w:val="0"/>
    <w:qFormat/>
    <w:rPr>
      <w:rFonts w:ascii="宋体" w:hAnsi="Courier New" w:cs="Courier New" w:eastAsiaTheme="minorEastAsia"/>
      <w:sz w:val="21"/>
      <w:szCs w:val="21"/>
    </w:rPr>
  </w:style>
  <w:style w:type="character" w:styleId="961" w:customStyle="1">
    <w:name w:val="标题 4 字符"/>
    <w:basedOn w:val="766"/>
    <w:link w:val="760"/>
    <w:uiPriority w:val="0"/>
    <w:qFormat/>
    <w:rPr>
      <w:rFonts w:asciiTheme="majorHAnsi" w:hAnsiTheme="majorHAnsi" w:eastAsiaTheme="majorEastAsia" w:cstheme="majorBidi"/>
      <w:b/>
      <w:bCs/>
      <w:sz w:val="28"/>
      <w:szCs w:val="28"/>
    </w:rPr>
  </w:style>
  <w:style w:type="character" w:styleId="962" w:customStyle="1">
    <w:name w:val="日期 字符"/>
    <w:basedOn w:val="766"/>
    <w:link w:val="776"/>
    <w:uiPriority w:val="0"/>
    <w:qFormat/>
    <w:rPr>
      <w:rFonts w:asciiTheme="minorHAnsi" w:hAnsiTheme="minorHAnsi" w:eastAsiaTheme="minorEastAsia" w:cstheme="minorBidi"/>
      <w:sz w:val="21"/>
      <w:szCs w:val="24"/>
    </w:rPr>
  </w:style>
  <w:style w:type="character" w:styleId="963" w:customStyle="1">
    <w:name w:val="未处理的提及1"/>
    <w:basedOn w:val="766"/>
    <w:uiPriority w:val="99"/>
    <w:semiHidden/>
    <w:unhideWhenUsed/>
    <w:qFormat/>
    <w:rPr>
      <w:color w:val="605e5c"/>
      <w:shd w:val="clear" w:color="auto" w:fill="e1dfdd"/>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蒋丰羽</cp:lastModifiedBy>
  <cp:revision>303</cp:revision>
  <dcterms:created xsi:type="dcterms:W3CDTF">2014-10-29T12:08:00Z</dcterms:created>
  <dcterms:modified xsi:type="dcterms:W3CDTF">2026-05-11T08:47:16Z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545095F3A6D34E2CBFA55B03FC424F01_13</vt:lpwstr>
  </property>
  <property fmtid="{D5CDD505-2E9C-101B-9397-08002B2CF9AE}" pid="4" name="KSOTemplateDocerSaveRecord">
    <vt:lpwstr>eyJoZGlkIjoiNDlmNTc2OGE5ZmRjZGY4OTI0OWFiOGEyN2RhZWZmNjUiLCJ1c2VySWQiOiIyNjYxNTYwNjkifQ==</vt:lpwstr>
  </property>
</Properties>
</file>